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36D7A7C" w:rsidR="007D1E76" w:rsidRPr="00E74967" w:rsidRDefault="00A155C0" w:rsidP="00F067C8">
      <w:pPr>
        <w:tabs>
          <w:tab w:val="left" w:leader="underscore" w:pos="9639"/>
        </w:tabs>
        <w:spacing w:after="0" w:line="240" w:lineRule="auto"/>
        <w:jc w:val="center"/>
        <w:rPr>
          <w:rFonts w:cs="Calibri"/>
        </w:rPr>
      </w:pPr>
      <w:r>
        <w:rPr>
          <w:rFonts w:cs="Calibri"/>
        </w:rPr>
        <w:t>06</w:t>
      </w:r>
      <w:r w:rsidR="00F067C8">
        <w:rPr>
          <w:rFonts w:cs="Calibri"/>
        </w:rPr>
        <w:t>-</w:t>
      </w:r>
      <w:r>
        <w:rPr>
          <w:rFonts w:cs="Calibri"/>
        </w:rPr>
        <w:t>12</w:t>
      </w:r>
      <w:r w:rsidR="00F067C8">
        <w:rPr>
          <w:rFonts w:cs="Calibri"/>
        </w:rPr>
        <w:t>-202</w:t>
      </w:r>
      <w:r>
        <w:rPr>
          <w:rFonts w:cs="Calibri"/>
        </w:rPr>
        <w:t>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82BF27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83389">
              <w:rPr>
                <w:noProof/>
                <w:webHidden/>
              </w:rPr>
              <w:t>2</w:t>
            </w:r>
            <w:r w:rsidR="005F51CC">
              <w:rPr>
                <w:noProof/>
                <w:webHidden/>
              </w:rPr>
              <w:fldChar w:fldCharType="end"/>
            </w:r>
          </w:hyperlink>
        </w:p>
        <w:p w14:paraId="6A6756CA" w14:textId="1BEF6B1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E83389">
              <w:rPr>
                <w:noProof/>
                <w:webHidden/>
              </w:rPr>
              <w:t>2</w:t>
            </w:r>
            <w:r>
              <w:rPr>
                <w:noProof/>
                <w:webHidden/>
              </w:rPr>
              <w:fldChar w:fldCharType="end"/>
            </w:r>
          </w:hyperlink>
        </w:p>
        <w:p w14:paraId="19796F35" w14:textId="712557D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E83389">
              <w:rPr>
                <w:noProof/>
                <w:webHidden/>
              </w:rPr>
              <w:t>2</w:t>
            </w:r>
            <w:r>
              <w:rPr>
                <w:noProof/>
                <w:webHidden/>
              </w:rPr>
              <w:fldChar w:fldCharType="end"/>
            </w:r>
          </w:hyperlink>
        </w:p>
        <w:p w14:paraId="62AC0657" w14:textId="7B8E727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E83389">
              <w:rPr>
                <w:noProof/>
                <w:webHidden/>
              </w:rPr>
              <w:t>5</w:t>
            </w:r>
            <w:r>
              <w:rPr>
                <w:noProof/>
                <w:webHidden/>
              </w:rPr>
              <w:fldChar w:fldCharType="end"/>
            </w:r>
          </w:hyperlink>
        </w:p>
        <w:p w14:paraId="7C7C1962" w14:textId="64F07B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E83389">
              <w:rPr>
                <w:noProof/>
                <w:webHidden/>
              </w:rPr>
              <w:t>6</w:t>
            </w:r>
            <w:r>
              <w:rPr>
                <w:noProof/>
                <w:webHidden/>
              </w:rPr>
              <w:fldChar w:fldCharType="end"/>
            </w:r>
          </w:hyperlink>
        </w:p>
        <w:p w14:paraId="3FE6C661" w14:textId="3BD5C87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E83389">
              <w:rPr>
                <w:noProof/>
                <w:webHidden/>
              </w:rPr>
              <w:t>7</w:t>
            </w:r>
            <w:r>
              <w:rPr>
                <w:noProof/>
                <w:webHidden/>
              </w:rPr>
              <w:fldChar w:fldCharType="end"/>
            </w:r>
          </w:hyperlink>
        </w:p>
        <w:p w14:paraId="135541CC" w14:textId="20E6DF6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E83389">
              <w:rPr>
                <w:noProof/>
                <w:webHidden/>
              </w:rPr>
              <w:t>7</w:t>
            </w:r>
            <w:r>
              <w:rPr>
                <w:noProof/>
                <w:webHidden/>
              </w:rPr>
              <w:fldChar w:fldCharType="end"/>
            </w:r>
          </w:hyperlink>
        </w:p>
        <w:p w14:paraId="48C9D852" w14:textId="5306B00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E83389">
              <w:rPr>
                <w:noProof/>
                <w:webHidden/>
              </w:rPr>
              <w:t>9</w:t>
            </w:r>
            <w:r>
              <w:rPr>
                <w:noProof/>
                <w:webHidden/>
              </w:rPr>
              <w:fldChar w:fldCharType="end"/>
            </w:r>
          </w:hyperlink>
        </w:p>
        <w:p w14:paraId="027C97E3" w14:textId="6A12BD9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E83389">
              <w:rPr>
                <w:noProof/>
                <w:webHidden/>
              </w:rPr>
              <w:t>9</w:t>
            </w:r>
            <w:r>
              <w:rPr>
                <w:noProof/>
                <w:webHidden/>
              </w:rPr>
              <w:fldChar w:fldCharType="end"/>
            </w:r>
          </w:hyperlink>
        </w:p>
        <w:p w14:paraId="00DB87A1" w14:textId="77CBF9C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E83389">
              <w:rPr>
                <w:noProof/>
                <w:webHidden/>
              </w:rPr>
              <w:t>10</w:t>
            </w:r>
            <w:r>
              <w:rPr>
                <w:noProof/>
                <w:webHidden/>
              </w:rPr>
              <w:fldChar w:fldCharType="end"/>
            </w:r>
          </w:hyperlink>
        </w:p>
        <w:p w14:paraId="00EEECC2" w14:textId="41292CA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E83389">
              <w:rPr>
                <w:noProof/>
                <w:webHidden/>
              </w:rPr>
              <w:t>10</w:t>
            </w:r>
            <w:r>
              <w:rPr>
                <w:noProof/>
                <w:webHidden/>
              </w:rPr>
              <w:fldChar w:fldCharType="end"/>
            </w:r>
          </w:hyperlink>
        </w:p>
        <w:p w14:paraId="68FD7A9A" w14:textId="6C3C76C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E83389">
              <w:rPr>
                <w:noProof/>
                <w:webHidden/>
              </w:rPr>
              <w:t>10</w:t>
            </w:r>
            <w:r>
              <w:rPr>
                <w:noProof/>
                <w:webHidden/>
              </w:rPr>
              <w:fldChar w:fldCharType="end"/>
            </w:r>
          </w:hyperlink>
        </w:p>
        <w:p w14:paraId="5F55527F" w14:textId="20CC929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E83389">
              <w:rPr>
                <w:noProof/>
                <w:webHidden/>
              </w:rPr>
              <w:t>10</w:t>
            </w:r>
            <w:r>
              <w:rPr>
                <w:noProof/>
                <w:webHidden/>
              </w:rPr>
              <w:fldChar w:fldCharType="end"/>
            </w:r>
          </w:hyperlink>
        </w:p>
        <w:p w14:paraId="674ABB69" w14:textId="47B0749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E83389">
              <w:rPr>
                <w:noProof/>
                <w:webHidden/>
              </w:rPr>
              <w:t>11</w:t>
            </w:r>
            <w:r>
              <w:rPr>
                <w:noProof/>
                <w:webHidden/>
              </w:rPr>
              <w:fldChar w:fldCharType="end"/>
            </w:r>
          </w:hyperlink>
        </w:p>
        <w:p w14:paraId="39048CDA" w14:textId="59949EF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E83389">
              <w:rPr>
                <w:noProof/>
                <w:webHidden/>
              </w:rPr>
              <w:t>11</w:t>
            </w:r>
            <w:r>
              <w:rPr>
                <w:noProof/>
                <w:webHidden/>
              </w:rPr>
              <w:fldChar w:fldCharType="end"/>
            </w:r>
          </w:hyperlink>
        </w:p>
        <w:p w14:paraId="7E9C5BA3" w14:textId="4D50EFA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E83389">
              <w:rPr>
                <w:noProof/>
                <w:webHidden/>
              </w:rPr>
              <w:t>11</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9BD6D00" w:rsidR="007D1E76" w:rsidRPr="00E74967" w:rsidRDefault="00581019" w:rsidP="00CB41C4">
      <w:pPr>
        <w:tabs>
          <w:tab w:val="left" w:leader="underscore" w:pos="9639"/>
        </w:tabs>
        <w:spacing w:after="0" w:line="240" w:lineRule="auto"/>
        <w:jc w:val="both"/>
        <w:rPr>
          <w:rFonts w:cs="Calibri"/>
        </w:rPr>
      </w:pPr>
      <w:r>
        <w:rPr>
          <w:rFonts w:cs="Calibri"/>
        </w:rPr>
        <w:t>31 DE MAYO DEL 2005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4294952" w14:textId="77777777" w:rsidR="00F21ACE" w:rsidRPr="00E74967" w:rsidRDefault="00F21ACE" w:rsidP="00CB41C4">
      <w:pPr>
        <w:tabs>
          <w:tab w:val="left" w:leader="underscore" w:pos="9639"/>
        </w:tabs>
        <w:spacing w:after="0" w:line="240" w:lineRule="auto"/>
        <w:jc w:val="both"/>
        <w:rPr>
          <w:rFonts w:cs="Calibri"/>
        </w:rPr>
      </w:pPr>
    </w:p>
    <w:p w14:paraId="3A78E212" w14:textId="207F0934" w:rsidR="008360EA" w:rsidRDefault="008360EA" w:rsidP="00516A8F">
      <w:pPr>
        <w:tabs>
          <w:tab w:val="left" w:leader="underscore" w:pos="9639"/>
        </w:tabs>
        <w:spacing w:after="0" w:line="240" w:lineRule="auto"/>
        <w:jc w:val="both"/>
        <w:rPr>
          <w:rFonts w:cs="Calibri"/>
        </w:rPr>
      </w:pPr>
      <w:r>
        <w:rPr>
          <w:rFonts w:cs="Calibri"/>
        </w:rPr>
        <w:t>En fecha 06 de abril del 2021 se emite el manual de organización y procedimientos para el instituto municipal de Salamanca para las mujeres el cual incluye la incorporación de nuevos departamentos, facultades y servicios, reformas en la ley que nos aplica.</w:t>
      </w:r>
    </w:p>
    <w:p w14:paraId="3F1FB559" w14:textId="77777777" w:rsidR="003B72E6" w:rsidRDefault="003B72E6" w:rsidP="00516A8F">
      <w:pPr>
        <w:tabs>
          <w:tab w:val="left" w:leader="underscore" w:pos="9639"/>
        </w:tabs>
        <w:spacing w:after="0" w:line="240" w:lineRule="auto"/>
        <w:jc w:val="both"/>
        <w:rPr>
          <w:rFonts w:cs="Calibri"/>
        </w:rPr>
      </w:pPr>
    </w:p>
    <w:p w14:paraId="16A215A1" w14:textId="14887AEC" w:rsidR="00516A8F" w:rsidRDefault="008360EA" w:rsidP="00516A8F">
      <w:pPr>
        <w:tabs>
          <w:tab w:val="left" w:leader="underscore" w:pos="9639"/>
        </w:tabs>
        <w:spacing w:after="0" w:line="240" w:lineRule="auto"/>
        <w:jc w:val="both"/>
        <w:rPr>
          <w:rFonts w:cs="Calibri"/>
        </w:rPr>
      </w:pPr>
      <w:r w:rsidRPr="00E74967">
        <w:rPr>
          <w:rFonts w:cs="Calibri"/>
        </w:rPr>
        <w:t xml:space="preserve"> </w:t>
      </w:r>
      <w:r w:rsidR="003B72E6" w:rsidRPr="00C4625D">
        <w:rPr>
          <w:rFonts w:cs="Calibri"/>
        </w:rPr>
        <w:t>“Bajo protesta de decir verdad declaramos que los Estados Financieros y sus notas, son razonablemente correctos y son responsabilidad del emisor”</w:t>
      </w:r>
    </w:p>
    <w:p w14:paraId="59FDB980" w14:textId="77777777" w:rsidR="003B72E6" w:rsidRDefault="003B72E6" w:rsidP="00516A8F">
      <w:pPr>
        <w:tabs>
          <w:tab w:val="left" w:leader="underscore" w:pos="9639"/>
        </w:tabs>
        <w:spacing w:after="0" w:line="240" w:lineRule="auto"/>
        <w:jc w:val="both"/>
        <w:rPr>
          <w:rFonts w:cs="Calibri"/>
        </w:rPr>
      </w:pPr>
    </w:p>
    <w:p w14:paraId="04271445" w14:textId="77777777" w:rsidR="00E83389" w:rsidRPr="00E74967" w:rsidRDefault="00E83389"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CB10790" w14:textId="77777777" w:rsidR="00F21ACE" w:rsidRDefault="00F21ACE" w:rsidP="00516A8F">
      <w:pPr>
        <w:tabs>
          <w:tab w:val="left" w:leader="underscore" w:pos="9639"/>
        </w:tabs>
        <w:spacing w:after="0" w:line="240" w:lineRule="auto"/>
        <w:jc w:val="both"/>
        <w:rPr>
          <w:rFonts w:cs="Calibri"/>
        </w:rPr>
      </w:pPr>
    </w:p>
    <w:p w14:paraId="208447E6" w14:textId="29D66054" w:rsidR="0012493A" w:rsidRDefault="008360EA" w:rsidP="00516A8F">
      <w:pPr>
        <w:tabs>
          <w:tab w:val="left" w:leader="underscore" w:pos="9639"/>
        </w:tabs>
        <w:spacing w:after="0" w:line="240" w:lineRule="auto"/>
        <w:jc w:val="both"/>
        <w:rPr>
          <w:rFonts w:cs="Calibri"/>
        </w:rPr>
      </w:pPr>
      <w:r>
        <w:rPr>
          <w:rFonts w:cs="Calibri"/>
        </w:rPr>
        <w:t xml:space="preserve">El ingreso que obtiene el Instituto proviene de </w:t>
      </w:r>
      <w:r w:rsidR="00D51153">
        <w:rPr>
          <w:rFonts w:cs="Calibri"/>
        </w:rPr>
        <w:t>Transferencias, asignaciones, subsidios y subvenciones, y pensiones y jubilaciones. La cual se regirá por la Ley de Ingresos, disposiciones administrativas de observancia general que emita el Ayuntamiento, así como las normas de derecho común, como se muestra:</w:t>
      </w:r>
    </w:p>
    <w:p w14:paraId="67AB3C50" w14:textId="7AC00CF0" w:rsidR="00E83389" w:rsidRDefault="00AC423B" w:rsidP="00516A8F">
      <w:pPr>
        <w:tabs>
          <w:tab w:val="left" w:leader="underscore" w:pos="9639"/>
        </w:tabs>
        <w:spacing w:after="0" w:line="240" w:lineRule="auto"/>
        <w:jc w:val="both"/>
        <w:rPr>
          <w:rFonts w:cs="Calibri"/>
        </w:rPr>
      </w:pPr>
      <w:r w:rsidRPr="00AC423B">
        <w:rPr>
          <w:rFonts w:cs="Calibri"/>
        </w:rPr>
        <w:drawing>
          <wp:anchor distT="0" distB="0" distL="114300" distR="114300" simplePos="0" relativeHeight="251664384" behindDoc="1" locked="0" layoutInCell="1" allowOverlap="1" wp14:anchorId="7F922121" wp14:editId="1D85E59A">
            <wp:simplePos x="0" y="0"/>
            <wp:positionH relativeFrom="margin">
              <wp:align>left</wp:align>
            </wp:positionH>
            <wp:positionV relativeFrom="paragraph">
              <wp:posOffset>66040</wp:posOffset>
            </wp:positionV>
            <wp:extent cx="5939790" cy="3086100"/>
            <wp:effectExtent l="0" t="0" r="3810" b="0"/>
            <wp:wrapNone/>
            <wp:docPr id="13342101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10125" name=""/>
                    <pic:cNvPicPr/>
                  </pic:nvPicPr>
                  <pic:blipFill>
                    <a:blip r:embed="rId12">
                      <a:extLst>
                        <a:ext uri="{28A0092B-C50C-407E-A947-70E740481C1C}">
                          <a14:useLocalDpi xmlns:a14="http://schemas.microsoft.com/office/drawing/2010/main" val="0"/>
                        </a:ext>
                      </a:extLst>
                    </a:blip>
                    <a:stretch>
                      <a:fillRect/>
                    </a:stretch>
                  </pic:blipFill>
                  <pic:spPr>
                    <a:xfrm>
                      <a:off x="0" y="0"/>
                      <a:ext cx="5939790" cy="3086100"/>
                    </a:xfrm>
                    <a:prstGeom prst="rect">
                      <a:avLst/>
                    </a:prstGeom>
                  </pic:spPr>
                </pic:pic>
              </a:graphicData>
            </a:graphic>
            <wp14:sizeRelV relativeFrom="margin">
              <wp14:pctHeight>0</wp14:pctHeight>
            </wp14:sizeRelV>
          </wp:anchor>
        </w:drawing>
      </w:r>
    </w:p>
    <w:p w14:paraId="11F7215E" w14:textId="2D218A36" w:rsidR="00F21ACE" w:rsidRDefault="00F21ACE" w:rsidP="00516A8F">
      <w:pPr>
        <w:tabs>
          <w:tab w:val="left" w:leader="underscore" w:pos="9639"/>
        </w:tabs>
        <w:spacing w:after="0" w:line="240" w:lineRule="auto"/>
        <w:jc w:val="both"/>
        <w:rPr>
          <w:rFonts w:cs="Calibri"/>
        </w:rPr>
      </w:pPr>
    </w:p>
    <w:p w14:paraId="74A00D77" w14:textId="5A90B6CB" w:rsidR="00D51153" w:rsidRDefault="00D51153" w:rsidP="00516A8F">
      <w:pPr>
        <w:tabs>
          <w:tab w:val="left" w:leader="underscore" w:pos="9639"/>
        </w:tabs>
        <w:spacing w:after="0" w:line="240" w:lineRule="auto"/>
        <w:jc w:val="both"/>
        <w:rPr>
          <w:rFonts w:cs="Calibri"/>
        </w:rPr>
      </w:pPr>
    </w:p>
    <w:p w14:paraId="0305CEA0" w14:textId="07951DE6" w:rsidR="0012493A" w:rsidRPr="00E74967" w:rsidRDefault="0012493A" w:rsidP="00516A8F">
      <w:pPr>
        <w:tabs>
          <w:tab w:val="left" w:leader="underscore" w:pos="9639"/>
        </w:tabs>
        <w:spacing w:after="0" w:line="240" w:lineRule="auto"/>
        <w:jc w:val="both"/>
        <w:rPr>
          <w:rFonts w:cs="Calibri"/>
        </w:rPr>
      </w:pPr>
    </w:p>
    <w:p w14:paraId="55F4994B" w14:textId="77777777" w:rsidR="00524450" w:rsidRDefault="00524450" w:rsidP="000C3365">
      <w:pPr>
        <w:pStyle w:val="Ttulo2"/>
        <w:rPr>
          <w:rFonts w:asciiTheme="minorHAnsi" w:hAnsiTheme="minorHAnsi" w:cstheme="minorHAnsi"/>
          <w:b/>
          <w:color w:val="auto"/>
          <w:sz w:val="22"/>
        </w:rPr>
      </w:pPr>
      <w:bookmarkStart w:id="2" w:name="_Toc161472868"/>
    </w:p>
    <w:p w14:paraId="3EBD1F5B" w14:textId="77777777" w:rsidR="00524450" w:rsidRDefault="00524450" w:rsidP="000C3365">
      <w:pPr>
        <w:pStyle w:val="Ttulo2"/>
        <w:rPr>
          <w:rFonts w:asciiTheme="minorHAnsi" w:hAnsiTheme="minorHAnsi" w:cstheme="minorHAnsi"/>
          <w:b/>
          <w:color w:val="auto"/>
          <w:sz w:val="22"/>
        </w:rPr>
      </w:pPr>
    </w:p>
    <w:p w14:paraId="63F2FF1B" w14:textId="77777777" w:rsidR="00524450" w:rsidRDefault="00524450" w:rsidP="000C3365">
      <w:pPr>
        <w:pStyle w:val="Ttulo2"/>
        <w:rPr>
          <w:rFonts w:asciiTheme="minorHAnsi" w:hAnsiTheme="minorHAnsi" w:cstheme="minorHAnsi"/>
          <w:b/>
          <w:color w:val="auto"/>
          <w:sz w:val="22"/>
        </w:rPr>
      </w:pPr>
    </w:p>
    <w:p w14:paraId="1730ED7E" w14:textId="77777777" w:rsidR="00524450" w:rsidRDefault="00524450" w:rsidP="000C3365">
      <w:pPr>
        <w:pStyle w:val="Ttulo2"/>
        <w:rPr>
          <w:rFonts w:asciiTheme="minorHAnsi" w:hAnsiTheme="minorHAnsi" w:cstheme="minorHAnsi"/>
          <w:b/>
          <w:color w:val="auto"/>
          <w:sz w:val="22"/>
        </w:rPr>
      </w:pPr>
    </w:p>
    <w:p w14:paraId="4D4A1C56" w14:textId="77777777" w:rsidR="00524450" w:rsidRDefault="00524450" w:rsidP="000C3365">
      <w:pPr>
        <w:pStyle w:val="Ttulo2"/>
        <w:rPr>
          <w:rFonts w:asciiTheme="minorHAnsi" w:hAnsiTheme="minorHAnsi" w:cstheme="minorHAnsi"/>
          <w:b/>
          <w:color w:val="auto"/>
          <w:sz w:val="22"/>
        </w:rPr>
      </w:pPr>
    </w:p>
    <w:p w14:paraId="0E67E6E9" w14:textId="77777777" w:rsidR="00524450" w:rsidRDefault="00524450" w:rsidP="000C3365">
      <w:pPr>
        <w:pStyle w:val="Ttulo2"/>
        <w:rPr>
          <w:rFonts w:asciiTheme="minorHAnsi" w:hAnsiTheme="minorHAnsi" w:cstheme="minorHAnsi"/>
          <w:b/>
          <w:color w:val="auto"/>
          <w:sz w:val="22"/>
        </w:rPr>
      </w:pPr>
    </w:p>
    <w:p w14:paraId="2A088063" w14:textId="77777777" w:rsidR="00524450" w:rsidRDefault="00524450" w:rsidP="000C3365">
      <w:pPr>
        <w:pStyle w:val="Ttulo2"/>
        <w:rPr>
          <w:rFonts w:asciiTheme="minorHAnsi" w:hAnsiTheme="minorHAnsi" w:cstheme="minorHAnsi"/>
          <w:b/>
          <w:color w:val="auto"/>
          <w:sz w:val="22"/>
        </w:rPr>
      </w:pPr>
    </w:p>
    <w:p w14:paraId="528CBB1E" w14:textId="77777777" w:rsidR="00524450" w:rsidRDefault="00524450" w:rsidP="000C3365">
      <w:pPr>
        <w:pStyle w:val="Ttulo2"/>
        <w:rPr>
          <w:rFonts w:asciiTheme="minorHAnsi" w:hAnsiTheme="minorHAnsi" w:cstheme="minorHAnsi"/>
          <w:b/>
          <w:color w:val="auto"/>
          <w:sz w:val="22"/>
        </w:rPr>
      </w:pPr>
    </w:p>
    <w:p w14:paraId="401C636F" w14:textId="77777777" w:rsidR="00524450" w:rsidRDefault="00524450" w:rsidP="000C3365">
      <w:pPr>
        <w:pStyle w:val="Ttulo2"/>
        <w:rPr>
          <w:rFonts w:asciiTheme="minorHAnsi" w:hAnsiTheme="minorHAnsi" w:cstheme="minorHAnsi"/>
          <w:b/>
          <w:color w:val="auto"/>
          <w:sz w:val="22"/>
        </w:rPr>
      </w:pPr>
    </w:p>
    <w:p w14:paraId="373D6CB8" w14:textId="77777777" w:rsidR="00FF5097" w:rsidRDefault="00FF5097" w:rsidP="000C3365">
      <w:pPr>
        <w:pStyle w:val="Ttulo2"/>
        <w:rPr>
          <w:rFonts w:cs="Calibri"/>
          <w:color w:val="auto"/>
          <w:sz w:val="22"/>
          <w:szCs w:val="22"/>
        </w:rPr>
      </w:pPr>
    </w:p>
    <w:p w14:paraId="448396DE" w14:textId="77777777" w:rsidR="00FF5097" w:rsidRDefault="00FF5097" w:rsidP="000C3365">
      <w:pPr>
        <w:pStyle w:val="Ttulo2"/>
        <w:rPr>
          <w:rFonts w:cs="Calibri"/>
          <w:color w:val="auto"/>
          <w:sz w:val="22"/>
          <w:szCs w:val="22"/>
        </w:rPr>
      </w:pPr>
    </w:p>
    <w:p w14:paraId="006C987C" w14:textId="77777777" w:rsidR="00AC423B" w:rsidRDefault="00AC423B" w:rsidP="000C3365">
      <w:pPr>
        <w:pStyle w:val="Ttulo2"/>
        <w:rPr>
          <w:rFonts w:cs="Calibri"/>
          <w:color w:val="auto"/>
          <w:sz w:val="22"/>
          <w:szCs w:val="22"/>
        </w:rPr>
      </w:pPr>
    </w:p>
    <w:p w14:paraId="4008FBCB" w14:textId="396C079B" w:rsidR="00F21ACE" w:rsidRDefault="003B72E6" w:rsidP="000C3365">
      <w:pPr>
        <w:pStyle w:val="Ttulo2"/>
        <w:rPr>
          <w:rFonts w:cs="Calibri"/>
          <w:color w:val="auto"/>
          <w:sz w:val="22"/>
          <w:szCs w:val="22"/>
        </w:rPr>
      </w:pPr>
      <w:r w:rsidRPr="003B72E6">
        <w:rPr>
          <w:rFonts w:cs="Calibri"/>
          <w:color w:val="auto"/>
          <w:sz w:val="22"/>
          <w:szCs w:val="22"/>
        </w:rPr>
        <w:t>“Bajo protesta de decir verdad declaramos que los Estados Financieros y sus notas, son razonablemente correctos y son responsabilidad del emisor”</w:t>
      </w:r>
    </w:p>
    <w:p w14:paraId="49D09065" w14:textId="77777777" w:rsidR="00C57523" w:rsidRDefault="00C57523" w:rsidP="00C57523"/>
    <w:p w14:paraId="332B9487" w14:textId="77777777" w:rsidR="00E83389" w:rsidRDefault="00E83389" w:rsidP="00C57523"/>
    <w:p w14:paraId="08136E94" w14:textId="36218C1D"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D496F0B" w14:textId="77777777" w:rsidR="00F21ACE" w:rsidRPr="00F21ACE" w:rsidRDefault="00F21ACE" w:rsidP="00F21ACE">
      <w:pPr>
        <w:tabs>
          <w:tab w:val="left" w:leader="underscore" w:pos="9639"/>
        </w:tabs>
        <w:spacing w:after="0" w:line="240" w:lineRule="auto"/>
        <w:jc w:val="both"/>
        <w:rPr>
          <w:rFonts w:cs="Calibri"/>
        </w:rPr>
      </w:pPr>
      <w:r w:rsidRPr="00F21ACE">
        <w:rPr>
          <w:rFonts w:cs="Calibri"/>
        </w:rPr>
        <w:t>Capitulo Segundo del Objeto y Facultades.</w:t>
      </w:r>
    </w:p>
    <w:p w14:paraId="6F4B484C" w14:textId="77777777" w:rsidR="00F21ACE" w:rsidRDefault="00F21ACE" w:rsidP="00F21ACE">
      <w:pPr>
        <w:tabs>
          <w:tab w:val="left" w:leader="underscore" w:pos="9639"/>
        </w:tabs>
        <w:spacing w:after="0" w:line="240" w:lineRule="auto"/>
        <w:jc w:val="both"/>
        <w:rPr>
          <w:rFonts w:cs="Calibri"/>
          <w:lang w:val="es-ES"/>
        </w:rPr>
      </w:pPr>
    </w:p>
    <w:p w14:paraId="3535FBD2" w14:textId="6254EE6A"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Artículo 3. El IMSM tendrá por objeto promover y fomentar las condiciones que posibiliten:</w:t>
      </w:r>
    </w:p>
    <w:p w14:paraId="730A86D2" w14:textId="03E96D17" w:rsidR="00F21ACE" w:rsidRPr="00F21ACE" w:rsidRDefault="00F21ACE" w:rsidP="00F21ACE">
      <w:pPr>
        <w:tabs>
          <w:tab w:val="left" w:leader="underscore" w:pos="9639"/>
        </w:tabs>
        <w:spacing w:after="0" w:line="240" w:lineRule="auto"/>
        <w:jc w:val="both"/>
        <w:rPr>
          <w:rFonts w:cs="Calibri"/>
          <w:lang w:val="es-ES"/>
        </w:rPr>
      </w:pPr>
    </w:p>
    <w:p w14:paraId="75E316D4" w14:textId="5B5CAE9F"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 La no discriminación, la equidad, la igualdad de oportunidades y de trato entre los géneros.</w:t>
      </w:r>
    </w:p>
    <w:p w14:paraId="23EFBCA0" w14:textId="77777777"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 El ejercicio pleno de todos los derechos de las mujeres y su participación equitativa en la vida política, cultural, económica y social del Estado.</w:t>
      </w:r>
    </w:p>
    <w:p w14:paraId="3F241879" w14:textId="67CDEEF4" w:rsidR="00F21ACE" w:rsidRPr="00F21ACE" w:rsidRDefault="00F21ACE" w:rsidP="00F21ACE">
      <w:pPr>
        <w:tabs>
          <w:tab w:val="left" w:leader="underscore" w:pos="9639"/>
        </w:tabs>
        <w:spacing w:after="0" w:line="240" w:lineRule="auto"/>
        <w:jc w:val="both"/>
        <w:rPr>
          <w:rFonts w:cs="Calibri"/>
          <w:lang w:val="es-ES"/>
        </w:rPr>
      </w:pPr>
      <w:r w:rsidRPr="00F21ACE">
        <w:rPr>
          <w:rFonts w:cs="Calibri"/>
          <w:lang w:val="es-ES"/>
        </w:rPr>
        <w:t>III.- Establecer criterios de transversalidad en las políticas públicas desde la perspectiva de género en las distintas dependencias y entidades de la Administración Pública Municipal, a partir de la ejecución de programas y acciones coordinadas o conjuntas.</w:t>
      </w:r>
    </w:p>
    <w:p w14:paraId="3ACF74F3" w14:textId="1D7AA31E"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C48DD49" w14:textId="77777777" w:rsidR="00F21ACE" w:rsidRPr="00E74967" w:rsidRDefault="00F21ACE" w:rsidP="00CB41C4">
      <w:pPr>
        <w:tabs>
          <w:tab w:val="left" w:leader="underscore" w:pos="9639"/>
        </w:tabs>
        <w:spacing w:after="0" w:line="240" w:lineRule="auto"/>
        <w:jc w:val="both"/>
        <w:rPr>
          <w:rFonts w:cs="Calibri"/>
        </w:rPr>
      </w:pPr>
    </w:p>
    <w:p w14:paraId="60BC6138" w14:textId="77777777" w:rsidR="00F21ACE" w:rsidRDefault="00F21ACE" w:rsidP="00CB41C4">
      <w:pPr>
        <w:tabs>
          <w:tab w:val="left" w:leader="underscore" w:pos="9639"/>
        </w:tabs>
        <w:spacing w:after="0" w:line="240" w:lineRule="auto"/>
        <w:jc w:val="both"/>
        <w:rPr>
          <w:rFonts w:cs="Calibri"/>
        </w:rPr>
      </w:pPr>
      <w:r>
        <w:rPr>
          <w:rFonts w:cs="Calibri"/>
        </w:rPr>
        <w:t>1. Talleres y Pláticas</w:t>
      </w:r>
    </w:p>
    <w:p w14:paraId="5E8C2262" w14:textId="77777777" w:rsidR="00F21ACE" w:rsidRDefault="00F21ACE" w:rsidP="00CB41C4">
      <w:pPr>
        <w:tabs>
          <w:tab w:val="left" w:leader="underscore" w:pos="9639"/>
        </w:tabs>
        <w:spacing w:after="0" w:line="240" w:lineRule="auto"/>
        <w:jc w:val="both"/>
        <w:rPr>
          <w:rFonts w:cs="Calibri"/>
        </w:rPr>
      </w:pPr>
      <w:r>
        <w:rPr>
          <w:rFonts w:cs="Calibri"/>
        </w:rPr>
        <w:t>2. Asesoría Jurídica</w:t>
      </w:r>
    </w:p>
    <w:p w14:paraId="25E068D1" w14:textId="6A8EB6FA" w:rsidR="007D1E76" w:rsidRDefault="00F21ACE" w:rsidP="00CB41C4">
      <w:pPr>
        <w:tabs>
          <w:tab w:val="left" w:leader="underscore" w:pos="9639"/>
        </w:tabs>
        <w:spacing w:after="0" w:line="240" w:lineRule="auto"/>
        <w:jc w:val="both"/>
        <w:rPr>
          <w:rFonts w:cs="Calibri"/>
        </w:rPr>
      </w:pPr>
      <w:r>
        <w:rPr>
          <w:rFonts w:cs="Calibri"/>
        </w:rPr>
        <w:t>3. Capacitaciones</w:t>
      </w:r>
    </w:p>
    <w:p w14:paraId="4783DADD" w14:textId="680186F8" w:rsidR="00F21ACE" w:rsidRDefault="00F21ACE" w:rsidP="00CB41C4">
      <w:pPr>
        <w:tabs>
          <w:tab w:val="left" w:leader="underscore" w:pos="9639"/>
        </w:tabs>
        <w:spacing w:after="0" w:line="240" w:lineRule="auto"/>
        <w:jc w:val="both"/>
        <w:rPr>
          <w:rFonts w:cs="Calibri"/>
        </w:rPr>
      </w:pPr>
      <w:r>
        <w:rPr>
          <w:rFonts w:cs="Calibri"/>
        </w:rPr>
        <w:t>4. Atención Psicológica</w:t>
      </w:r>
    </w:p>
    <w:p w14:paraId="30465D73" w14:textId="53B5BAB9" w:rsidR="00F21ACE" w:rsidRDefault="00F21ACE" w:rsidP="00CB41C4">
      <w:pPr>
        <w:tabs>
          <w:tab w:val="left" w:leader="underscore" w:pos="9639"/>
        </w:tabs>
        <w:spacing w:after="0" w:line="240" w:lineRule="auto"/>
        <w:jc w:val="both"/>
        <w:rPr>
          <w:rFonts w:cs="Calibri"/>
        </w:rPr>
      </w:pPr>
      <w:r>
        <w:rPr>
          <w:rFonts w:cs="Calibri"/>
        </w:rPr>
        <w:t>5. Cuidado de la Salud</w:t>
      </w:r>
    </w:p>
    <w:p w14:paraId="29DE20AD" w14:textId="3A8B1342" w:rsidR="00F21ACE" w:rsidRDefault="00F21ACE" w:rsidP="00CB41C4">
      <w:pPr>
        <w:tabs>
          <w:tab w:val="left" w:leader="underscore" w:pos="9639"/>
        </w:tabs>
        <w:spacing w:after="0" w:line="240" w:lineRule="auto"/>
        <w:jc w:val="both"/>
        <w:rPr>
          <w:rFonts w:cs="Calibri"/>
        </w:rPr>
      </w:pPr>
      <w:r>
        <w:rPr>
          <w:rFonts w:cs="Calibri"/>
        </w:rPr>
        <w:t>6. Conferencias y Exposiciones</w:t>
      </w:r>
    </w:p>
    <w:p w14:paraId="442DB46C" w14:textId="77777777" w:rsidR="00F21ACE" w:rsidRDefault="00F21ACE" w:rsidP="00CB41C4">
      <w:pPr>
        <w:tabs>
          <w:tab w:val="left" w:leader="underscore" w:pos="9639"/>
        </w:tabs>
        <w:spacing w:after="0" w:line="240" w:lineRule="auto"/>
        <w:jc w:val="both"/>
        <w:rPr>
          <w:rFonts w:cs="Calibri"/>
        </w:rPr>
      </w:pPr>
    </w:p>
    <w:p w14:paraId="2D21CE61" w14:textId="32946EA5"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4F7186A" w14:textId="7E6FCD0F" w:rsidR="007D1E76" w:rsidRDefault="007D1E76" w:rsidP="00CB41C4">
      <w:pPr>
        <w:tabs>
          <w:tab w:val="left" w:leader="underscore" w:pos="9639"/>
        </w:tabs>
        <w:spacing w:after="0" w:line="240" w:lineRule="auto"/>
        <w:jc w:val="both"/>
        <w:rPr>
          <w:rFonts w:cs="Calibri"/>
        </w:rPr>
      </w:pPr>
    </w:p>
    <w:p w14:paraId="3DB46D71" w14:textId="23FFBF92" w:rsidR="00F21ACE" w:rsidRPr="00E74967" w:rsidRDefault="00F21ACE" w:rsidP="00CB41C4">
      <w:pPr>
        <w:tabs>
          <w:tab w:val="left" w:leader="underscore" w:pos="9639"/>
        </w:tabs>
        <w:spacing w:after="0" w:line="240" w:lineRule="auto"/>
        <w:jc w:val="both"/>
        <w:rPr>
          <w:rFonts w:cs="Calibri"/>
        </w:rPr>
      </w:pPr>
      <w:r>
        <w:rPr>
          <w:rFonts w:cs="Calibri"/>
        </w:rPr>
        <w:t>De enero a diciembre del 202</w:t>
      </w:r>
      <w:r w:rsidR="00C67AD7">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5B2D401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5EDE698F" w:rsidR="007D1E76" w:rsidRDefault="007D1E76" w:rsidP="00CB41C4">
      <w:pPr>
        <w:tabs>
          <w:tab w:val="left" w:leader="underscore" w:pos="9639"/>
        </w:tabs>
        <w:spacing w:after="0" w:line="240" w:lineRule="auto"/>
        <w:jc w:val="both"/>
        <w:rPr>
          <w:rFonts w:cs="Calibri"/>
        </w:rPr>
      </w:pPr>
    </w:p>
    <w:p w14:paraId="16707A7C" w14:textId="70836DB5" w:rsidR="00F21ACE" w:rsidRPr="00E74967" w:rsidRDefault="00F21ACE" w:rsidP="00CB41C4">
      <w:pPr>
        <w:tabs>
          <w:tab w:val="left" w:leader="underscore" w:pos="9639"/>
        </w:tabs>
        <w:spacing w:after="0" w:line="240" w:lineRule="auto"/>
        <w:jc w:val="both"/>
        <w:rPr>
          <w:rFonts w:cs="Calibri"/>
        </w:rPr>
      </w:pPr>
      <w:r>
        <w:rPr>
          <w:rFonts w:cs="Calibri"/>
        </w:rPr>
        <w:t>Personas Morales con fines no lucrativ</w:t>
      </w:r>
      <w:r w:rsidR="00AC423B">
        <w:rPr>
          <w:rFonts w:cs="Calibri"/>
        </w:rPr>
        <w:t>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67B27F8F" w:rsidR="007D1E76" w:rsidRDefault="00F21ACE" w:rsidP="00CB41C4">
      <w:pPr>
        <w:tabs>
          <w:tab w:val="left" w:leader="underscore" w:pos="9639"/>
        </w:tabs>
        <w:spacing w:after="0" w:line="240" w:lineRule="auto"/>
        <w:jc w:val="both"/>
        <w:rPr>
          <w:rFonts w:cs="Calibri"/>
        </w:rPr>
      </w:pPr>
      <w:r>
        <w:rPr>
          <w:rFonts w:cs="Calibri"/>
        </w:rPr>
        <w:t>Descripción de la Obligación:</w:t>
      </w:r>
    </w:p>
    <w:p w14:paraId="51C3400C" w14:textId="77777777" w:rsidR="00C57523" w:rsidRDefault="00C57523" w:rsidP="00CB41C4">
      <w:pPr>
        <w:tabs>
          <w:tab w:val="left" w:leader="underscore" w:pos="9639"/>
        </w:tabs>
        <w:spacing w:after="0" w:line="240" w:lineRule="auto"/>
        <w:jc w:val="both"/>
        <w:rPr>
          <w:rFonts w:cs="Calibri"/>
        </w:rPr>
      </w:pPr>
    </w:p>
    <w:p w14:paraId="03701DC5" w14:textId="1401C382"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sueldos y salarios</w:t>
      </w:r>
    </w:p>
    <w:p w14:paraId="3B816203" w14:textId="5997B6CD"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anual informativa de los ingresos obtenidos y los gastos efectuados del régimen de personas morales con fines no lucrativos. Impuesto sobre la renta.</w:t>
      </w:r>
    </w:p>
    <w:p w14:paraId="162E7210" w14:textId="0692A909"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mensuales de ISR por ingresos asimilados a salarios</w:t>
      </w:r>
    </w:p>
    <w:p w14:paraId="0A902E3A" w14:textId="0FDDD870"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Declaración informativa mensual de Proveedores</w:t>
      </w:r>
    </w:p>
    <w:p w14:paraId="3DC03F6F" w14:textId="2E7361D5" w:rsid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retención de ISR por servicios profesionales Mensual</w:t>
      </w:r>
    </w:p>
    <w:p w14:paraId="25C81026" w14:textId="05E030FF" w:rsidR="00F21ACE" w:rsidRPr="00F21ACE" w:rsidRDefault="00F21ACE" w:rsidP="00F21ACE">
      <w:pPr>
        <w:pStyle w:val="Prrafodelista"/>
        <w:numPr>
          <w:ilvl w:val="0"/>
          <w:numId w:val="2"/>
        </w:numPr>
        <w:tabs>
          <w:tab w:val="left" w:leader="underscore" w:pos="9639"/>
        </w:tabs>
        <w:spacing w:after="0" w:line="240" w:lineRule="auto"/>
        <w:jc w:val="both"/>
        <w:rPr>
          <w:rFonts w:cs="Calibri"/>
        </w:rPr>
      </w:pPr>
      <w:r>
        <w:rPr>
          <w:rFonts w:cs="Calibri"/>
        </w:rPr>
        <w:t>Entero de retenciones de IVA mensual</w:t>
      </w:r>
    </w:p>
    <w:p w14:paraId="6268EF76" w14:textId="77777777" w:rsidR="007D1E76" w:rsidRDefault="007D1E76" w:rsidP="00CB41C4">
      <w:pPr>
        <w:tabs>
          <w:tab w:val="left" w:leader="underscore" w:pos="9639"/>
        </w:tabs>
        <w:spacing w:after="0" w:line="240" w:lineRule="auto"/>
        <w:jc w:val="both"/>
        <w:rPr>
          <w:rFonts w:cs="Calibri"/>
        </w:rPr>
      </w:pPr>
    </w:p>
    <w:p w14:paraId="3319B567" w14:textId="77777777" w:rsidR="00C57523" w:rsidRPr="00E74967" w:rsidRDefault="00C57523" w:rsidP="00CB41C4">
      <w:pPr>
        <w:tabs>
          <w:tab w:val="left" w:leader="underscore" w:pos="9639"/>
        </w:tabs>
        <w:spacing w:after="0" w:line="240" w:lineRule="auto"/>
        <w:jc w:val="both"/>
        <w:rPr>
          <w:rFonts w:cs="Calibri"/>
        </w:rPr>
      </w:pPr>
    </w:p>
    <w:p w14:paraId="6EB77A6D" w14:textId="66FC097E"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2228047C" w14:textId="77777777" w:rsidR="00E83389" w:rsidRDefault="00E83389" w:rsidP="00CB41C4">
      <w:pPr>
        <w:tabs>
          <w:tab w:val="left" w:leader="underscore" w:pos="9639"/>
        </w:tabs>
        <w:spacing w:after="0" w:line="240" w:lineRule="auto"/>
        <w:jc w:val="both"/>
        <w:rPr>
          <w:rFonts w:cs="Calibri"/>
        </w:rPr>
      </w:pPr>
    </w:p>
    <w:p w14:paraId="775B7AFF" w14:textId="77777777" w:rsidR="00E83389" w:rsidRDefault="00E83389" w:rsidP="00CB41C4">
      <w:pPr>
        <w:tabs>
          <w:tab w:val="left" w:leader="underscore" w:pos="9639"/>
        </w:tabs>
        <w:spacing w:after="0" w:line="240" w:lineRule="auto"/>
        <w:jc w:val="both"/>
        <w:rPr>
          <w:rFonts w:cs="Calibri"/>
        </w:rPr>
      </w:pPr>
    </w:p>
    <w:p w14:paraId="5CC770D1" w14:textId="77777777" w:rsidR="00E83389" w:rsidRDefault="00E83389" w:rsidP="00CB41C4">
      <w:pPr>
        <w:tabs>
          <w:tab w:val="left" w:leader="underscore" w:pos="9639"/>
        </w:tabs>
        <w:spacing w:after="0" w:line="240" w:lineRule="auto"/>
        <w:jc w:val="both"/>
        <w:rPr>
          <w:rFonts w:cs="Calibri"/>
        </w:rPr>
      </w:pPr>
    </w:p>
    <w:p w14:paraId="30A7CB50" w14:textId="77777777" w:rsidR="00E83389" w:rsidRDefault="00E83389" w:rsidP="00CB41C4">
      <w:pPr>
        <w:tabs>
          <w:tab w:val="left" w:leader="underscore" w:pos="9639"/>
        </w:tabs>
        <w:spacing w:after="0" w:line="240" w:lineRule="auto"/>
        <w:jc w:val="both"/>
        <w:rPr>
          <w:rFonts w:cs="Calibri"/>
        </w:rPr>
      </w:pPr>
    </w:p>
    <w:p w14:paraId="0FE08B68" w14:textId="10CA303F" w:rsidR="007D1E76" w:rsidRDefault="007D1E76" w:rsidP="00E83389">
      <w:pPr>
        <w:tabs>
          <w:tab w:val="left" w:leader="underscore" w:pos="9639"/>
        </w:tabs>
        <w:spacing w:after="0" w:line="240" w:lineRule="auto"/>
        <w:jc w:val="both"/>
        <w:rPr>
          <w:rFonts w:cs="Calibri"/>
        </w:rPr>
      </w:pPr>
      <w:r w:rsidRPr="00E74967">
        <w:rPr>
          <w:rFonts w:cs="Calibri"/>
        </w:rPr>
        <w:lastRenderedPageBreak/>
        <w:t>*Anexar organigrama de la entidad.</w:t>
      </w:r>
    </w:p>
    <w:p w14:paraId="71006A71" w14:textId="37A99FE7" w:rsidR="00AB0CF3" w:rsidRPr="00E74967" w:rsidRDefault="00AB0CF3" w:rsidP="00E83389">
      <w:pPr>
        <w:tabs>
          <w:tab w:val="left" w:leader="underscore" w:pos="9639"/>
        </w:tabs>
        <w:spacing w:after="0" w:line="240" w:lineRule="auto"/>
        <w:jc w:val="both"/>
        <w:rPr>
          <w:rFonts w:cs="Calibri"/>
        </w:rPr>
      </w:pPr>
      <w:r w:rsidRPr="00AB0CF3">
        <w:rPr>
          <w:rFonts w:cs="Calibri"/>
        </w:rPr>
        <w:drawing>
          <wp:anchor distT="0" distB="0" distL="114300" distR="114300" simplePos="0" relativeHeight="251663360" behindDoc="1" locked="0" layoutInCell="1" allowOverlap="1" wp14:anchorId="5E14C35C" wp14:editId="59C4C5D0">
            <wp:simplePos x="0" y="0"/>
            <wp:positionH relativeFrom="column">
              <wp:posOffset>-376556</wp:posOffset>
            </wp:positionH>
            <wp:positionV relativeFrom="paragraph">
              <wp:posOffset>157480</wp:posOffset>
            </wp:positionV>
            <wp:extent cx="6524625" cy="8244018"/>
            <wp:effectExtent l="0" t="0" r="0" b="5080"/>
            <wp:wrapNone/>
            <wp:docPr id="1584659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59256" name=""/>
                    <pic:cNvPicPr/>
                  </pic:nvPicPr>
                  <pic:blipFill>
                    <a:blip r:embed="rId13">
                      <a:extLst>
                        <a:ext uri="{28A0092B-C50C-407E-A947-70E740481C1C}">
                          <a14:useLocalDpi xmlns:a14="http://schemas.microsoft.com/office/drawing/2010/main" val="0"/>
                        </a:ext>
                      </a:extLst>
                    </a:blip>
                    <a:stretch>
                      <a:fillRect/>
                    </a:stretch>
                  </pic:blipFill>
                  <pic:spPr>
                    <a:xfrm>
                      <a:off x="0" y="0"/>
                      <a:ext cx="6530730" cy="8251731"/>
                    </a:xfrm>
                    <a:prstGeom prst="rect">
                      <a:avLst/>
                    </a:prstGeom>
                  </pic:spPr>
                </pic:pic>
              </a:graphicData>
            </a:graphic>
            <wp14:sizeRelH relativeFrom="margin">
              <wp14:pctWidth>0</wp14:pctWidth>
            </wp14:sizeRelH>
            <wp14:sizeRelV relativeFrom="margin">
              <wp14:pctHeight>0</wp14:pctHeight>
            </wp14:sizeRelV>
          </wp:anchor>
        </w:drawing>
      </w:r>
    </w:p>
    <w:p w14:paraId="3450C629" w14:textId="7DC9ED51" w:rsidR="007D1E76" w:rsidRDefault="007D1E76" w:rsidP="00CB41C4">
      <w:pPr>
        <w:tabs>
          <w:tab w:val="left" w:leader="underscore" w:pos="9639"/>
        </w:tabs>
        <w:spacing w:after="0" w:line="240" w:lineRule="auto"/>
        <w:jc w:val="both"/>
        <w:rPr>
          <w:rFonts w:cs="Calibri"/>
        </w:rPr>
      </w:pPr>
    </w:p>
    <w:p w14:paraId="402CD14D" w14:textId="0D33A9B2" w:rsidR="00CB41C4" w:rsidRDefault="00CB41C4" w:rsidP="00CB41C4">
      <w:pPr>
        <w:tabs>
          <w:tab w:val="left" w:leader="underscore" w:pos="9639"/>
        </w:tabs>
        <w:spacing w:after="0" w:line="240" w:lineRule="auto"/>
        <w:jc w:val="both"/>
        <w:rPr>
          <w:rFonts w:cs="Calibri"/>
        </w:rPr>
      </w:pPr>
    </w:p>
    <w:p w14:paraId="381BB1A2" w14:textId="095E603D" w:rsidR="00F21ACE" w:rsidRDefault="00F21ACE" w:rsidP="00CB41C4">
      <w:pPr>
        <w:tabs>
          <w:tab w:val="left" w:leader="underscore" w:pos="9639"/>
        </w:tabs>
        <w:spacing w:after="0" w:line="240" w:lineRule="auto"/>
        <w:jc w:val="both"/>
        <w:rPr>
          <w:rFonts w:cs="Calibri"/>
        </w:rPr>
      </w:pPr>
    </w:p>
    <w:p w14:paraId="09C905BA" w14:textId="4BDD6C90" w:rsidR="00F21ACE" w:rsidRDefault="00F21ACE" w:rsidP="00C246CF">
      <w:pPr>
        <w:tabs>
          <w:tab w:val="left" w:leader="underscore" w:pos="9639"/>
        </w:tabs>
        <w:spacing w:after="0" w:line="240" w:lineRule="auto"/>
        <w:jc w:val="right"/>
        <w:rPr>
          <w:rFonts w:cs="Calibri"/>
        </w:rPr>
      </w:pPr>
    </w:p>
    <w:p w14:paraId="13E82C3D" w14:textId="4B2C06F4"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763ADBCA" w14:textId="77777777" w:rsidR="003C0DAC" w:rsidRDefault="003C0DAC" w:rsidP="00CB41C4">
      <w:pPr>
        <w:tabs>
          <w:tab w:val="left" w:leader="underscore" w:pos="9639"/>
        </w:tabs>
        <w:spacing w:after="0" w:line="240" w:lineRule="auto"/>
        <w:jc w:val="both"/>
        <w:rPr>
          <w:rFonts w:cs="Calibri"/>
          <w:b/>
        </w:rPr>
      </w:pPr>
    </w:p>
    <w:p w14:paraId="0F1E9CEF" w14:textId="77777777" w:rsidR="003C0DAC" w:rsidRDefault="003C0DAC" w:rsidP="00CB41C4">
      <w:pPr>
        <w:tabs>
          <w:tab w:val="left" w:leader="underscore" w:pos="9639"/>
        </w:tabs>
        <w:spacing w:after="0" w:line="240" w:lineRule="auto"/>
        <w:jc w:val="both"/>
        <w:rPr>
          <w:rFonts w:cs="Calibri"/>
          <w:b/>
        </w:rPr>
      </w:pPr>
    </w:p>
    <w:p w14:paraId="0DE3505C" w14:textId="77777777" w:rsidR="003C0DAC" w:rsidRDefault="003C0DAC" w:rsidP="00CB41C4">
      <w:pPr>
        <w:tabs>
          <w:tab w:val="left" w:leader="underscore" w:pos="9639"/>
        </w:tabs>
        <w:spacing w:after="0" w:line="240" w:lineRule="auto"/>
        <w:jc w:val="both"/>
        <w:rPr>
          <w:rFonts w:cs="Calibri"/>
          <w:b/>
        </w:rPr>
      </w:pPr>
    </w:p>
    <w:p w14:paraId="4D9A6FE3" w14:textId="77777777" w:rsidR="003C0DAC" w:rsidRDefault="003C0DAC" w:rsidP="00CB41C4">
      <w:pPr>
        <w:tabs>
          <w:tab w:val="left" w:leader="underscore" w:pos="9639"/>
        </w:tabs>
        <w:spacing w:after="0" w:line="240" w:lineRule="auto"/>
        <w:jc w:val="both"/>
        <w:rPr>
          <w:rFonts w:cs="Calibri"/>
          <w:b/>
        </w:rPr>
      </w:pPr>
    </w:p>
    <w:p w14:paraId="34CB5D8D" w14:textId="77777777" w:rsidR="003C0DAC" w:rsidRDefault="003C0DAC" w:rsidP="00CB41C4">
      <w:pPr>
        <w:tabs>
          <w:tab w:val="left" w:leader="underscore" w:pos="9639"/>
        </w:tabs>
        <w:spacing w:after="0" w:line="240" w:lineRule="auto"/>
        <w:jc w:val="both"/>
        <w:rPr>
          <w:rFonts w:cs="Calibri"/>
          <w:b/>
        </w:rPr>
      </w:pPr>
    </w:p>
    <w:p w14:paraId="790A6D7E" w14:textId="77777777" w:rsidR="003C0DAC" w:rsidRDefault="003C0DAC" w:rsidP="00CB41C4">
      <w:pPr>
        <w:tabs>
          <w:tab w:val="left" w:leader="underscore" w:pos="9639"/>
        </w:tabs>
        <w:spacing w:after="0" w:line="240" w:lineRule="auto"/>
        <w:jc w:val="both"/>
        <w:rPr>
          <w:rFonts w:cs="Calibri"/>
          <w:b/>
        </w:rPr>
      </w:pPr>
    </w:p>
    <w:p w14:paraId="413A0A88" w14:textId="77777777" w:rsidR="003C0DAC" w:rsidRDefault="003C0DAC" w:rsidP="00CB41C4">
      <w:pPr>
        <w:tabs>
          <w:tab w:val="left" w:leader="underscore" w:pos="9639"/>
        </w:tabs>
        <w:spacing w:after="0" w:line="240" w:lineRule="auto"/>
        <w:jc w:val="both"/>
        <w:rPr>
          <w:rFonts w:cs="Calibri"/>
          <w:b/>
        </w:rPr>
      </w:pPr>
    </w:p>
    <w:p w14:paraId="6A013584" w14:textId="77777777" w:rsidR="003C0DAC" w:rsidRDefault="003C0DAC" w:rsidP="00CB41C4">
      <w:pPr>
        <w:tabs>
          <w:tab w:val="left" w:leader="underscore" w:pos="9639"/>
        </w:tabs>
        <w:spacing w:after="0" w:line="240" w:lineRule="auto"/>
        <w:jc w:val="both"/>
        <w:rPr>
          <w:rFonts w:cs="Calibri"/>
          <w:b/>
        </w:rPr>
      </w:pPr>
    </w:p>
    <w:p w14:paraId="797DA637" w14:textId="77777777" w:rsidR="003C0DAC" w:rsidRDefault="003C0DAC" w:rsidP="00CB41C4">
      <w:pPr>
        <w:tabs>
          <w:tab w:val="left" w:leader="underscore" w:pos="9639"/>
        </w:tabs>
        <w:spacing w:after="0" w:line="240" w:lineRule="auto"/>
        <w:jc w:val="both"/>
        <w:rPr>
          <w:rFonts w:cs="Calibri"/>
          <w:b/>
        </w:rPr>
      </w:pPr>
    </w:p>
    <w:p w14:paraId="187CECAF" w14:textId="77777777" w:rsidR="003C0DAC" w:rsidRDefault="003C0DAC" w:rsidP="00CB41C4">
      <w:pPr>
        <w:tabs>
          <w:tab w:val="left" w:leader="underscore" w:pos="9639"/>
        </w:tabs>
        <w:spacing w:after="0" w:line="240" w:lineRule="auto"/>
        <w:jc w:val="both"/>
        <w:rPr>
          <w:rFonts w:cs="Calibri"/>
          <w:b/>
        </w:rPr>
      </w:pPr>
    </w:p>
    <w:p w14:paraId="4C389547" w14:textId="77777777" w:rsidR="003C0DAC" w:rsidRDefault="003C0DAC" w:rsidP="00CB41C4">
      <w:pPr>
        <w:tabs>
          <w:tab w:val="left" w:leader="underscore" w:pos="9639"/>
        </w:tabs>
        <w:spacing w:after="0" w:line="240" w:lineRule="auto"/>
        <w:jc w:val="both"/>
        <w:rPr>
          <w:rFonts w:cs="Calibri"/>
          <w:b/>
        </w:rPr>
      </w:pPr>
    </w:p>
    <w:p w14:paraId="36EBF292" w14:textId="77777777" w:rsidR="003C0DAC" w:rsidRDefault="003C0DAC" w:rsidP="00CB41C4">
      <w:pPr>
        <w:tabs>
          <w:tab w:val="left" w:leader="underscore" w:pos="9639"/>
        </w:tabs>
        <w:spacing w:after="0" w:line="240" w:lineRule="auto"/>
        <w:jc w:val="both"/>
        <w:rPr>
          <w:rFonts w:cs="Calibri"/>
          <w:b/>
        </w:rPr>
      </w:pPr>
    </w:p>
    <w:p w14:paraId="7B3F5555" w14:textId="77777777" w:rsidR="003C0DAC" w:rsidRDefault="003C0DAC" w:rsidP="00CB41C4">
      <w:pPr>
        <w:tabs>
          <w:tab w:val="left" w:leader="underscore" w:pos="9639"/>
        </w:tabs>
        <w:spacing w:after="0" w:line="240" w:lineRule="auto"/>
        <w:jc w:val="both"/>
        <w:rPr>
          <w:rFonts w:cs="Calibri"/>
          <w:b/>
        </w:rPr>
      </w:pPr>
    </w:p>
    <w:p w14:paraId="3626467C" w14:textId="77777777" w:rsidR="003C0DAC" w:rsidRDefault="003C0DAC" w:rsidP="00CB41C4">
      <w:pPr>
        <w:tabs>
          <w:tab w:val="left" w:leader="underscore" w:pos="9639"/>
        </w:tabs>
        <w:spacing w:after="0" w:line="240" w:lineRule="auto"/>
        <w:jc w:val="both"/>
        <w:rPr>
          <w:rFonts w:cs="Calibri"/>
          <w:b/>
        </w:rPr>
      </w:pPr>
    </w:p>
    <w:p w14:paraId="1D727B9E" w14:textId="77777777" w:rsidR="003C0DAC" w:rsidRDefault="003C0DAC" w:rsidP="00CB41C4">
      <w:pPr>
        <w:tabs>
          <w:tab w:val="left" w:leader="underscore" w:pos="9639"/>
        </w:tabs>
        <w:spacing w:after="0" w:line="240" w:lineRule="auto"/>
        <w:jc w:val="both"/>
        <w:rPr>
          <w:rFonts w:cs="Calibri"/>
          <w:b/>
        </w:rPr>
      </w:pPr>
    </w:p>
    <w:p w14:paraId="47370BF6" w14:textId="77777777" w:rsidR="003C0DAC" w:rsidRDefault="003C0DAC" w:rsidP="00CB41C4">
      <w:pPr>
        <w:tabs>
          <w:tab w:val="left" w:leader="underscore" w:pos="9639"/>
        </w:tabs>
        <w:spacing w:after="0" w:line="240" w:lineRule="auto"/>
        <w:jc w:val="both"/>
        <w:rPr>
          <w:rFonts w:cs="Calibri"/>
          <w:b/>
        </w:rPr>
      </w:pPr>
    </w:p>
    <w:p w14:paraId="1D65FACB" w14:textId="77777777" w:rsidR="003C0DAC" w:rsidRDefault="003C0DAC" w:rsidP="00CB41C4">
      <w:pPr>
        <w:tabs>
          <w:tab w:val="left" w:leader="underscore" w:pos="9639"/>
        </w:tabs>
        <w:spacing w:after="0" w:line="240" w:lineRule="auto"/>
        <w:jc w:val="both"/>
        <w:rPr>
          <w:rFonts w:cs="Calibri"/>
          <w:b/>
        </w:rPr>
      </w:pPr>
    </w:p>
    <w:p w14:paraId="47B48A15" w14:textId="77777777" w:rsidR="003C0DAC" w:rsidRDefault="003C0DAC" w:rsidP="00CB41C4">
      <w:pPr>
        <w:tabs>
          <w:tab w:val="left" w:leader="underscore" w:pos="9639"/>
        </w:tabs>
        <w:spacing w:after="0" w:line="240" w:lineRule="auto"/>
        <w:jc w:val="both"/>
        <w:rPr>
          <w:rFonts w:cs="Calibri"/>
          <w:b/>
        </w:rPr>
      </w:pPr>
    </w:p>
    <w:p w14:paraId="5C5F4AC8" w14:textId="77777777" w:rsidR="003C0DAC" w:rsidRDefault="003C0DAC" w:rsidP="00CB41C4">
      <w:pPr>
        <w:tabs>
          <w:tab w:val="left" w:leader="underscore" w:pos="9639"/>
        </w:tabs>
        <w:spacing w:after="0" w:line="240" w:lineRule="auto"/>
        <w:jc w:val="both"/>
        <w:rPr>
          <w:rFonts w:cs="Calibri"/>
          <w:b/>
        </w:rPr>
      </w:pPr>
    </w:p>
    <w:p w14:paraId="6DBA21DF" w14:textId="77777777" w:rsidR="003C0DAC" w:rsidRDefault="003C0DAC" w:rsidP="00CB41C4">
      <w:pPr>
        <w:tabs>
          <w:tab w:val="left" w:leader="underscore" w:pos="9639"/>
        </w:tabs>
        <w:spacing w:after="0" w:line="240" w:lineRule="auto"/>
        <w:jc w:val="both"/>
        <w:rPr>
          <w:rFonts w:cs="Calibri"/>
          <w:b/>
        </w:rPr>
      </w:pPr>
    </w:p>
    <w:p w14:paraId="0E18A5F5" w14:textId="77777777" w:rsidR="003C0DAC" w:rsidRDefault="003C0DAC" w:rsidP="00CB41C4">
      <w:pPr>
        <w:tabs>
          <w:tab w:val="left" w:leader="underscore" w:pos="9639"/>
        </w:tabs>
        <w:spacing w:after="0" w:line="240" w:lineRule="auto"/>
        <w:jc w:val="both"/>
        <w:rPr>
          <w:rFonts w:cs="Calibri"/>
          <w:b/>
        </w:rPr>
      </w:pPr>
    </w:p>
    <w:p w14:paraId="2FE53043" w14:textId="77777777" w:rsidR="003C0DAC" w:rsidRDefault="003C0DAC" w:rsidP="00CB41C4">
      <w:pPr>
        <w:tabs>
          <w:tab w:val="left" w:leader="underscore" w:pos="9639"/>
        </w:tabs>
        <w:spacing w:after="0" w:line="240" w:lineRule="auto"/>
        <w:jc w:val="both"/>
        <w:rPr>
          <w:rFonts w:cs="Calibri"/>
          <w:b/>
        </w:rPr>
      </w:pPr>
    </w:p>
    <w:p w14:paraId="7620EB95" w14:textId="77777777" w:rsidR="003C0DAC" w:rsidRDefault="003C0DAC" w:rsidP="00CB41C4">
      <w:pPr>
        <w:tabs>
          <w:tab w:val="left" w:leader="underscore" w:pos="9639"/>
        </w:tabs>
        <w:spacing w:after="0" w:line="240" w:lineRule="auto"/>
        <w:jc w:val="both"/>
        <w:rPr>
          <w:rFonts w:cs="Calibri"/>
          <w:b/>
        </w:rPr>
      </w:pPr>
    </w:p>
    <w:p w14:paraId="13942589" w14:textId="77777777" w:rsidR="003C0DAC" w:rsidRDefault="003C0DAC" w:rsidP="00CB41C4">
      <w:pPr>
        <w:tabs>
          <w:tab w:val="left" w:leader="underscore" w:pos="9639"/>
        </w:tabs>
        <w:spacing w:after="0" w:line="240" w:lineRule="auto"/>
        <w:jc w:val="both"/>
        <w:rPr>
          <w:rFonts w:cs="Calibri"/>
          <w:b/>
        </w:rPr>
      </w:pPr>
    </w:p>
    <w:p w14:paraId="3DA3E909" w14:textId="77777777" w:rsidR="003C0DAC" w:rsidRDefault="003C0DAC" w:rsidP="00CB41C4">
      <w:pPr>
        <w:tabs>
          <w:tab w:val="left" w:leader="underscore" w:pos="9639"/>
        </w:tabs>
        <w:spacing w:after="0" w:line="240" w:lineRule="auto"/>
        <w:jc w:val="both"/>
        <w:rPr>
          <w:rFonts w:cs="Calibri"/>
          <w:b/>
        </w:rPr>
      </w:pPr>
    </w:p>
    <w:p w14:paraId="48B97068" w14:textId="77777777" w:rsidR="003C0DAC" w:rsidRDefault="003C0DAC" w:rsidP="00CB41C4">
      <w:pPr>
        <w:tabs>
          <w:tab w:val="left" w:leader="underscore" w:pos="9639"/>
        </w:tabs>
        <w:spacing w:after="0" w:line="240" w:lineRule="auto"/>
        <w:jc w:val="both"/>
        <w:rPr>
          <w:rFonts w:cs="Calibri"/>
          <w:b/>
        </w:rPr>
      </w:pPr>
    </w:p>
    <w:p w14:paraId="3EA083E8" w14:textId="77777777" w:rsidR="003C0DAC" w:rsidRDefault="003C0DAC" w:rsidP="00CB41C4">
      <w:pPr>
        <w:tabs>
          <w:tab w:val="left" w:leader="underscore" w:pos="9639"/>
        </w:tabs>
        <w:spacing w:after="0" w:line="240" w:lineRule="auto"/>
        <w:jc w:val="both"/>
        <w:rPr>
          <w:rFonts w:cs="Calibri"/>
          <w:b/>
        </w:rPr>
      </w:pPr>
    </w:p>
    <w:p w14:paraId="77E008CD" w14:textId="77777777" w:rsidR="003C0DAC" w:rsidRDefault="003C0DAC" w:rsidP="00CB41C4">
      <w:pPr>
        <w:tabs>
          <w:tab w:val="left" w:leader="underscore" w:pos="9639"/>
        </w:tabs>
        <w:spacing w:after="0" w:line="240" w:lineRule="auto"/>
        <w:jc w:val="both"/>
        <w:rPr>
          <w:rFonts w:cs="Calibri"/>
          <w:b/>
        </w:rPr>
      </w:pPr>
    </w:p>
    <w:p w14:paraId="70D12514" w14:textId="77777777" w:rsidR="003C0DAC" w:rsidRDefault="003C0DAC" w:rsidP="00CB41C4">
      <w:pPr>
        <w:tabs>
          <w:tab w:val="left" w:leader="underscore" w:pos="9639"/>
        </w:tabs>
        <w:spacing w:after="0" w:line="240" w:lineRule="auto"/>
        <w:jc w:val="both"/>
        <w:rPr>
          <w:rFonts w:cs="Calibri"/>
          <w:b/>
        </w:rPr>
      </w:pPr>
    </w:p>
    <w:p w14:paraId="63084EB0" w14:textId="77777777" w:rsidR="003C0DAC" w:rsidRDefault="003C0DAC" w:rsidP="00CB41C4">
      <w:pPr>
        <w:tabs>
          <w:tab w:val="left" w:leader="underscore" w:pos="9639"/>
        </w:tabs>
        <w:spacing w:after="0" w:line="240" w:lineRule="auto"/>
        <w:jc w:val="both"/>
        <w:rPr>
          <w:rFonts w:cs="Calibri"/>
          <w:b/>
        </w:rPr>
      </w:pPr>
    </w:p>
    <w:p w14:paraId="6196A478" w14:textId="77777777" w:rsidR="003C0DAC" w:rsidRDefault="003C0DAC" w:rsidP="00CB41C4">
      <w:pPr>
        <w:tabs>
          <w:tab w:val="left" w:leader="underscore" w:pos="9639"/>
        </w:tabs>
        <w:spacing w:after="0" w:line="240" w:lineRule="auto"/>
        <w:jc w:val="both"/>
        <w:rPr>
          <w:rFonts w:cs="Calibri"/>
          <w:b/>
        </w:rPr>
      </w:pPr>
    </w:p>
    <w:p w14:paraId="3EE44F7C" w14:textId="77777777" w:rsidR="003C0DAC" w:rsidRDefault="003C0DAC" w:rsidP="00CB41C4">
      <w:pPr>
        <w:tabs>
          <w:tab w:val="left" w:leader="underscore" w:pos="9639"/>
        </w:tabs>
        <w:spacing w:after="0" w:line="240" w:lineRule="auto"/>
        <w:jc w:val="both"/>
        <w:rPr>
          <w:rFonts w:cs="Calibri"/>
          <w:b/>
        </w:rPr>
      </w:pPr>
    </w:p>
    <w:p w14:paraId="7DAE73B9" w14:textId="77777777" w:rsidR="003C0DAC" w:rsidRDefault="003C0DAC" w:rsidP="00CB41C4">
      <w:pPr>
        <w:tabs>
          <w:tab w:val="left" w:leader="underscore" w:pos="9639"/>
        </w:tabs>
        <w:spacing w:after="0" w:line="240" w:lineRule="auto"/>
        <w:jc w:val="both"/>
        <w:rPr>
          <w:rFonts w:cs="Calibri"/>
          <w:b/>
        </w:rPr>
      </w:pPr>
    </w:p>
    <w:p w14:paraId="4A934A03" w14:textId="77777777" w:rsidR="003C0DAC" w:rsidRDefault="003C0DAC" w:rsidP="00CB41C4">
      <w:pPr>
        <w:tabs>
          <w:tab w:val="left" w:leader="underscore" w:pos="9639"/>
        </w:tabs>
        <w:spacing w:after="0" w:line="240" w:lineRule="auto"/>
        <w:jc w:val="both"/>
        <w:rPr>
          <w:rFonts w:cs="Calibri"/>
          <w:b/>
        </w:rPr>
      </w:pPr>
    </w:p>
    <w:p w14:paraId="6946959F" w14:textId="77777777" w:rsidR="003C0DAC" w:rsidRDefault="003C0DAC" w:rsidP="00CB41C4">
      <w:pPr>
        <w:tabs>
          <w:tab w:val="left" w:leader="underscore" w:pos="9639"/>
        </w:tabs>
        <w:spacing w:after="0" w:line="240" w:lineRule="auto"/>
        <w:jc w:val="both"/>
        <w:rPr>
          <w:rFonts w:cs="Calibri"/>
          <w:b/>
        </w:rPr>
      </w:pPr>
    </w:p>
    <w:p w14:paraId="5DACA0C6" w14:textId="77777777" w:rsidR="003C0DAC" w:rsidRDefault="003C0DAC" w:rsidP="00CB41C4">
      <w:pPr>
        <w:tabs>
          <w:tab w:val="left" w:leader="underscore" w:pos="9639"/>
        </w:tabs>
        <w:spacing w:after="0" w:line="240" w:lineRule="auto"/>
        <w:jc w:val="both"/>
        <w:rPr>
          <w:rFonts w:cs="Calibri"/>
          <w:b/>
        </w:rPr>
      </w:pPr>
    </w:p>
    <w:p w14:paraId="28A820DE" w14:textId="77777777" w:rsidR="003C0DAC" w:rsidRDefault="003C0DAC" w:rsidP="00CB41C4">
      <w:pPr>
        <w:tabs>
          <w:tab w:val="left" w:leader="underscore" w:pos="9639"/>
        </w:tabs>
        <w:spacing w:after="0" w:line="240" w:lineRule="auto"/>
        <w:jc w:val="both"/>
        <w:rPr>
          <w:rFonts w:cs="Calibri"/>
          <w:b/>
        </w:rPr>
      </w:pPr>
    </w:p>
    <w:p w14:paraId="3E2F3C02" w14:textId="77777777" w:rsidR="003C0DAC" w:rsidRDefault="003C0DAC" w:rsidP="00CB41C4">
      <w:pPr>
        <w:tabs>
          <w:tab w:val="left" w:leader="underscore" w:pos="9639"/>
        </w:tabs>
        <w:spacing w:after="0" w:line="240" w:lineRule="auto"/>
        <w:jc w:val="both"/>
        <w:rPr>
          <w:rFonts w:cs="Calibri"/>
          <w:b/>
        </w:rPr>
      </w:pPr>
    </w:p>
    <w:p w14:paraId="3D5616F2" w14:textId="77777777" w:rsidR="00E83389" w:rsidRDefault="00E83389" w:rsidP="00CB41C4">
      <w:pPr>
        <w:tabs>
          <w:tab w:val="left" w:leader="underscore" w:pos="9639"/>
        </w:tabs>
        <w:spacing w:after="0" w:line="240" w:lineRule="auto"/>
        <w:jc w:val="both"/>
        <w:rPr>
          <w:rFonts w:cs="Calibri"/>
          <w:b/>
        </w:rPr>
      </w:pPr>
    </w:p>
    <w:p w14:paraId="6678148B" w14:textId="77777777" w:rsidR="00E83389" w:rsidRDefault="00E83389" w:rsidP="00CB41C4">
      <w:pPr>
        <w:tabs>
          <w:tab w:val="left" w:leader="underscore" w:pos="9639"/>
        </w:tabs>
        <w:spacing w:after="0" w:line="240" w:lineRule="auto"/>
        <w:jc w:val="both"/>
        <w:rPr>
          <w:rFonts w:cs="Calibri"/>
          <w:b/>
        </w:rPr>
      </w:pPr>
    </w:p>
    <w:p w14:paraId="7FB3C233" w14:textId="77777777" w:rsidR="00E83389" w:rsidRDefault="00E83389" w:rsidP="00CB41C4">
      <w:pPr>
        <w:tabs>
          <w:tab w:val="left" w:leader="underscore" w:pos="9639"/>
        </w:tabs>
        <w:spacing w:after="0" w:line="240" w:lineRule="auto"/>
        <w:jc w:val="both"/>
        <w:rPr>
          <w:rFonts w:cs="Calibri"/>
          <w:b/>
        </w:rPr>
      </w:pPr>
    </w:p>
    <w:p w14:paraId="3B2CB45F" w14:textId="77777777" w:rsidR="00E83389" w:rsidRDefault="00E83389" w:rsidP="00CB41C4">
      <w:pPr>
        <w:tabs>
          <w:tab w:val="left" w:leader="underscore" w:pos="9639"/>
        </w:tabs>
        <w:spacing w:after="0" w:line="240" w:lineRule="auto"/>
        <w:jc w:val="both"/>
        <w:rPr>
          <w:rFonts w:cs="Calibri"/>
          <w:b/>
        </w:rPr>
      </w:pPr>
    </w:p>
    <w:p w14:paraId="38F3E5BE" w14:textId="77777777" w:rsidR="00E83389" w:rsidRDefault="00E83389" w:rsidP="00CB41C4">
      <w:pPr>
        <w:tabs>
          <w:tab w:val="left" w:leader="underscore" w:pos="9639"/>
        </w:tabs>
        <w:spacing w:after="0" w:line="240" w:lineRule="auto"/>
        <w:jc w:val="both"/>
        <w:rPr>
          <w:rFonts w:cs="Calibri"/>
          <w:b/>
        </w:rPr>
      </w:pPr>
    </w:p>
    <w:p w14:paraId="3E1D64C2" w14:textId="77777777" w:rsidR="00E83389" w:rsidRDefault="00E83389" w:rsidP="00CB41C4">
      <w:pPr>
        <w:tabs>
          <w:tab w:val="left" w:leader="underscore" w:pos="9639"/>
        </w:tabs>
        <w:spacing w:after="0" w:line="240" w:lineRule="auto"/>
        <w:jc w:val="both"/>
        <w:rPr>
          <w:rFonts w:cs="Calibri"/>
          <w:b/>
        </w:rPr>
      </w:pPr>
    </w:p>
    <w:p w14:paraId="19CEE146" w14:textId="7FC18522"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62564333" w14:textId="77777777" w:rsidR="00495BFE" w:rsidRDefault="00495BFE" w:rsidP="00CB41C4">
      <w:pPr>
        <w:tabs>
          <w:tab w:val="left" w:leader="underscore" w:pos="9639"/>
        </w:tabs>
        <w:spacing w:after="0" w:line="240" w:lineRule="auto"/>
        <w:jc w:val="both"/>
        <w:rPr>
          <w:rFonts w:cs="Calibri"/>
        </w:rPr>
      </w:pPr>
    </w:p>
    <w:p w14:paraId="30A4EDC2" w14:textId="4D2011C3" w:rsidR="007D1E76" w:rsidRPr="00E74967" w:rsidRDefault="00495BFE" w:rsidP="00CB41C4">
      <w:pPr>
        <w:tabs>
          <w:tab w:val="left" w:leader="underscore" w:pos="9639"/>
        </w:tabs>
        <w:spacing w:after="0" w:line="240" w:lineRule="auto"/>
        <w:jc w:val="both"/>
        <w:rPr>
          <w:rFonts w:cs="Calibri"/>
        </w:rPr>
      </w:pPr>
      <w:r>
        <w:rPr>
          <w:rFonts w:cs="Calibri"/>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563ABEF9" w:rsidR="00CB41C4"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DA5EB22" w14:textId="77777777" w:rsidR="003B72E6" w:rsidRDefault="003B72E6" w:rsidP="00CB41C4">
      <w:pPr>
        <w:tabs>
          <w:tab w:val="left" w:leader="underscore" w:pos="9639"/>
        </w:tabs>
        <w:spacing w:after="0" w:line="240" w:lineRule="auto"/>
        <w:jc w:val="both"/>
        <w:rPr>
          <w:rFonts w:cs="Calibri"/>
        </w:rPr>
      </w:pPr>
    </w:p>
    <w:p w14:paraId="49AE13AB" w14:textId="77777777" w:rsidR="000341B3" w:rsidRPr="00E74967" w:rsidRDefault="000341B3"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E671320" w:rsidR="007D1E76" w:rsidRDefault="00495BFE" w:rsidP="00CB41C4">
      <w:pPr>
        <w:tabs>
          <w:tab w:val="left" w:leader="underscore" w:pos="9639"/>
        </w:tabs>
        <w:spacing w:after="0" w:line="240" w:lineRule="auto"/>
        <w:jc w:val="both"/>
        <w:rPr>
          <w:rFonts w:cs="Calibri"/>
        </w:rPr>
      </w:pPr>
      <w:r>
        <w:rPr>
          <w:rFonts w:cs="Calibri"/>
        </w:rPr>
        <w:t>A la fecha el IMSM está homologado a la normatividad de la Ley de Contabilidad Gubernamental.</w:t>
      </w:r>
    </w:p>
    <w:p w14:paraId="377FC2CF" w14:textId="56D674CE" w:rsidR="00DE6D8B" w:rsidRPr="00E74967" w:rsidRDefault="00DE6D8B" w:rsidP="00CB41C4">
      <w:pPr>
        <w:tabs>
          <w:tab w:val="left" w:leader="underscore" w:pos="9639"/>
        </w:tabs>
        <w:spacing w:after="0" w:line="240" w:lineRule="auto"/>
        <w:jc w:val="both"/>
        <w:rPr>
          <w:rFonts w:cs="Calibri"/>
        </w:rPr>
      </w:pPr>
      <w:r>
        <w:rPr>
          <w:rFonts w:cs="Calibri"/>
        </w:rPr>
        <w:t>Si.</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30B65A7" w:rsidR="007D1E76" w:rsidRPr="00E74967" w:rsidRDefault="00495BFE" w:rsidP="00CB41C4">
      <w:pPr>
        <w:tabs>
          <w:tab w:val="left" w:leader="underscore" w:pos="9639"/>
        </w:tabs>
        <w:spacing w:after="0" w:line="240" w:lineRule="auto"/>
        <w:jc w:val="both"/>
        <w:rPr>
          <w:rFonts w:cs="Calibri"/>
        </w:rPr>
      </w:pPr>
      <w:r>
        <w:rPr>
          <w:rFonts w:cs="Calibri"/>
        </w:rPr>
        <w:t xml:space="preserve">Si.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7AB6741A" w14:textId="77777777" w:rsidR="00495BFE" w:rsidRDefault="00495BFE" w:rsidP="00CB41C4">
      <w:pPr>
        <w:tabs>
          <w:tab w:val="left" w:leader="underscore" w:pos="9639"/>
        </w:tabs>
        <w:spacing w:after="0" w:line="240" w:lineRule="auto"/>
        <w:jc w:val="both"/>
        <w:rPr>
          <w:rFonts w:cs="Calibri"/>
        </w:rPr>
      </w:pPr>
    </w:p>
    <w:p w14:paraId="5009A319" w14:textId="633AE6A6" w:rsidR="007D1E76" w:rsidRPr="00E74967" w:rsidRDefault="00495BFE" w:rsidP="00CB41C4">
      <w:pPr>
        <w:tabs>
          <w:tab w:val="left" w:leader="underscore" w:pos="9639"/>
        </w:tabs>
        <w:spacing w:after="0" w:line="240" w:lineRule="auto"/>
        <w:jc w:val="both"/>
        <w:rPr>
          <w:rFonts w:cs="Calibri"/>
        </w:rPr>
      </w:pPr>
      <w:r w:rsidRPr="00495BFE">
        <w:rPr>
          <w:rFonts w:cs="Calibri"/>
        </w:rPr>
        <w:t xml:space="preserve">Sustancia económica, entes públicos, existencia permanente, revelación suficiente, importancia relativa, registro e integración presupuestaria, consolidación de la información financiera, devengo contable, valuación, dualidad </w:t>
      </w:r>
      <w:r w:rsidR="003B72E6" w:rsidRPr="00495BFE">
        <w:rPr>
          <w:rFonts w:cs="Calibri"/>
        </w:rPr>
        <w:t>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632B03F" w14:textId="77777777" w:rsidR="005402B8" w:rsidRDefault="005402B8" w:rsidP="00CB41C4">
      <w:pPr>
        <w:tabs>
          <w:tab w:val="left" w:leader="underscore" w:pos="9639"/>
        </w:tabs>
        <w:spacing w:after="0" w:line="240" w:lineRule="auto"/>
        <w:jc w:val="both"/>
        <w:rPr>
          <w:rFonts w:cs="Calibri"/>
        </w:rPr>
      </w:pPr>
    </w:p>
    <w:p w14:paraId="384678DD" w14:textId="65AF6A2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15888A67"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32324D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3B6D9156" w14:textId="77777777" w:rsidR="007D1E76" w:rsidRDefault="007D1E76" w:rsidP="00CB41C4">
      <w:pPr>
        <w:tabs>
          <w:tab w:val="left" w:leader="underscore" w:pos="9639"/>
        </w:tabs>
        <w:spacing w:after="0" w:line="240" w:lineRule="auto"/>
        <w:jc w:val="both"/>
        <w:rPr>
          <w:rFonts w:cs="Calibri"/>
        </w:rPr>
      </w:pPr>
    </w:p>
    <w:p w14:paraId="4734AA3C" w14:textId="77777777" w:rsidR="00E83389" w:rsidRPr="00E74967" w:rsidRDefault="00E83389"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4FA61637" w14:textId="77777777" w:rsidR="00E83389" w:rsidRDefault="00E83389" w:rsidP="00CB41C4">
      <w:pPr>
        <w:tabs>
          <w:tab w:val="left" w:leader="underscore" w:pos="9639"/>
        </w:tabs>
        <w:spacing w:after="0" w:line="240" w:lineRule="auto"/>
        <w:jc w:val="both"/>
        <w:rPr>
          <w:rFonts w:cs="Calibri"/>
        </w:rPr>
      </w:pPr>
    </w:p>
    <w:p w14:paraId="0360043A" w14:textId="4A739849" w:rsidR="007D1E76" w:rsidRPr="00E74967" w:rsidRDefault="005402B8" w:rsidP="00CB41C4">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8F624DE" w14:textId="77777777" w:rsidR="005402B8" w:rsidRPr="00E74967" w:rsidRDefault="005402B8" w:rsidP="005402B8">
      <w:pPr>
        <w:tabs>
          <w:tab w:val="left" w:leader="underscore" w:pos="9639"/>
        </w:tabs>
        <w:spacing w:after="0" w:line="240" w:lineRule="auto"/>
        <w:jc w:val="both"/>
        <w:rPr>
          <w:rFonts w:cs="Calibri"/>
        </w:rPr>
      </w:pPr>
      <w:r>
        <w:rPr>
          <w:rFonts w:cs="Calibri"/>
        </w:rPr>
        <w:t>Esta nota no le aplica el ente público ya que se rige por el marco conceptual de Contabilidad Gubernamental</w:t>
      </w:r>
    </w:p>
    <w:p w14:paraId="76390FE4" w14:textId="4ECBC861" w:rsidR="006F0687" w:rsidRDefault="006F0687" w:rsidP="006F0687">
      <w:pPr>
        <w:tabs>
          <w:tab w:val="left" w:leader="underscore" w:pos="9639"/>
        </w:tabs>
        <w:spacing w:after="0" w:line="240" w:lineRule="auto"/>
        <w:jc w:val="both"/>
        <w:rPr>
          <w:rFonts w:cs="Calibri"/>
        </w:rPr>
      </w:pPr>
    </w:p>
    <w:p w14:paraId="6ADB3DAC" w14:textId="77777777" w:rsidR="000341B3" w:rsidRPr="00E74967" w:rsidRDefault="000341B3" w:rsidP="006F0687">
      <w:pPr>
        <w:tabs>
          <w:tab w:val="left" w:leader="underscore" w:pos="9639"/>
        </w:tabs>
        <w:spacing w:after="0" w:line="240" w:lineRule="auto"/>
        <w:jc w:val="both"/>
        <w:rPr>
          <w:rFonts w:cs="Calibri"/>
        </w:rPr>
      </w:pPr>
    </w:p>
    <w:p w14:paraId="158EC49E" w14:textId="07BE57D2"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119A6EF" w14:textId="77777777" w:rsidR="007D1E76" w:rsidRDefault="007D1E76" w:rsidP="00CB41C4">
      <w:pPr>
        <w:tabs>
          <w:tab w:val="left" w:leader="underscore" w:pos="9639"/>
        </w:tabs>
        <w:spacing w:after="0" w:line="240" w:lineRule="auto"/>
        <w:jc w:val="both"/>
        <w:rPr>
          <w:rFonts w:cs="Calibri"/>
        </w:rPr>
      </w:pPr>
    </w:p>
    <w:p w14:paraId="1405FD9F" w14:textId="77777777" w:rsidR="000341B3" w:rsidRPr="00E74967" w:rsidRDefault="000341B3" w:rsidP="00CB41C4">
      <w:pPr>
        <w:tabs>
          <w:tab w:val="left" w:leader="underscore" w:pos="9639"/>
        </w:tabs>
        <w:spacing w:after="0" w:line="240" w:lineRule="auto"/>
        <w:jc w:val="both"/>
        <w:rPr>
          <w:rFonts w:cs="Calibri"/>
        </w:rPr>
      </w:pPr>
    </w:p>
    <w:p w14:paraId="7025E7E0" w14:textId="4C87F38F" w:rsidR="007D1E76" w:rsidRDefault="007F699D" w:rsidP="000C3365">
      <w:pPr>
        <w:pStyle w:val="Ttulo2"/>
        <w:rPr>
          <w:rFonts w:asciiTheme="minorHAnsi" w:hAnsiTheme="minorHAnsi" w:cstheme="minorHAnsi"/>
          <w:b/>
          <w:color w:val="auto"/>
          <w:sz w:val="22"/>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2471F023" w14:textId="77777777" w:rsidR="00E83389" w:rsidRPr="00E83389" w:rsidRDefault="00E83389" w:rsidP="00E83389"/>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7AD3096D" w:rsidR="007D1E76" w:rsidRPr="00E74967" w:rsidRDefault="005402B8" w:rsidP="00CB41C4">
      <w:pPr>
        <w:tabs>
          <w:tab w:val="left" w:leader="underscore" w:pos="9639"/>
        </w:tabs>
        <w:spacing w:after="0" w:line="240" w:lineRule="auto"/>
        <w:jc w:val="both"/>
        <w:rPr>
          <w:rFonts w:cs="Calibri"/>
        </w:rPr>
      </w:pPr>
      <w:r>
        <w:rPr>
          <w:rFonts w:cs="Calibri"/>
        </w:rPr>
        <w:t>Los estados financieros se actualizan, de acuerdo a lo correspondiente por el CONAC</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0D1D92C9"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realizan operaciones con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4294E9FC"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65E12E87" w:rsidR="007D1E76" w:rsidRPr="00E74967" w:rsidRDefault="005402B8" w:rsidP="00CB41C4">
      <w:pPr>
        <w:tabs>
          <w:tab w:val="left" w:leader="underscore" w:pos="9639"/>
        </w:tabs>
        <w:spacing w:after="0" w:line="240" w:lineRule="auto"/>
        <w:jc w:val="both"/>
        <w:rPr>
          <w:rFonts w:cs="Calibri"/>
        </w:rPr>
      </w:pPr>
      <w:r>
        <w:rPr>
          <w:rFonts w:cs="Calibri"/>
        </w:rPr>
        <w:t>Esta nota no le aplica al ente público, ya que no se han vendido inventarios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5E5C691" w14:textId="36BC981B" w:rsidR="000E0C03" w:rsidRDefault="000E0C03" w:rsidP="00CB41C4">
      <w:pPr>
        <w:tabs>
          <w:tab w:val="left" w:leader="underscore" w:pos="9639"/>
        </w:tabs>
        <w:spacing w:after="0" w:line="240" w:lineRule="auto"/>
        <w:jc w:val="both"/>
        <w:rPr>
          <w:rFonts w:cs="Calibri"/>
        </w:rPr>
      </w:pPr>
      <w:r>
        <w:rPr>
          <w:rFonts w:cs="Calibri"/>
        </w:rPr>
        <w:t>D</w:t>
      </w:r>
      <w:r w:rsidR="00A90171">
        <w:rPr>
          <w:rFonts w:cs="Calibri"/>
        </w:rPr>
        <w:t>e</w:t>
      </w:r>
      <w:r>
        <w:rPr>
          <w:rFonts w:cs="Calibri"/>
        </w:rPr>
        <w:t xml:space="preserve"> las prestaciones, se tiene:</w:t>
      </w:r>
    </w:p>
    <w:p w14:paraId="3488266C" w14:textId="512AE292" w:rsidR="007D1E76"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Gratificación anual</w:t>
      </w:r>
    </w:p>
    <w:p w14:paraId="23434701" w14:textId="195621DC" w:rsid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Prima Vacacional</w:t>
      </w:r>
    </w:p>
    <w:p w14:paraId="601174AF" w14:textId="4335220B" w:rsidR="000E0C03" w:rsidRPr="000E0C03" w:rsidRDefault="000E0C03" w:rsidP="000E0C03">
      <w:pPr>
        <w:pStyle w:val="Prrafodelista"/>
        <w:numPr>
          <w:ilvl w:val="0"/>
          <w:numId w:val="4"/>
        </w:numPr>
        <w:tabs>
          <w:tab w:val="left" w:leader="underscore" w:pos="9639"/>
        </w:tabs>
        <w:spacing w:after="0" w:line="240" w:lineRule="auto"/>
        <w:jc w:val="both"/>
        <w:rPr>
          <w:rFonts w:cs="Calibri"/>
        </w:rPr>
      </w:pPr>
      <w:r>
        <w:rPr>
          <w:rFonts w:cs="Calibri"/>
        </w:rPr>
        <w:t>Vales de despensa</w:t>
      </w:r>
    </w:p>
    <w:p w14:paraId="6636D845" w14:textId="77777777" w:rsidR="007D1E76" w:rsidRDefault="007D1E76" w:rsidP="00CB41C4">
      <w:pPr>
        <w:tabs>
          <w:tab w:val="left" w:leader="underscore" w:pos="9639"/>
        </w:tabs>
        <w:spacing w:after="0" w:line="240" w:lineRule="auto"/>
        <w:jc w:val="both"/>
        <w:rPr>
          <w:rFonts w:cs="Calibri"/>
        </w:rPr>
      </w:pPr>
    </w:p>
    <w:p w14:paraId="459B8073" w14:textId="77777777" w:rsidR="00E83389" w:rsidRPr="00E74967" w:rsidRDefault="00E83389"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4E40100B" w14:textId="12D60AB7" w:rsidR="007D1E76" w:rsidRPr="00E74967" w:rsidRDefault="000E0C03" w:rsidP="00CB41C4">
      <w:pPr>
        <w:tabs>
          <w:tab w:val="left" w:leader="underscore" w:pos="9639"/>
        </w:tabs>
        <w:spacing w:after="0" w:line="240" w:lineRule="auto"/>
        <w:jc w:val="both"/>
        <w:rPr>
          <w:rFonts w:cs="Calibri"/>
        </w:rPr>
      </w:pPr>
      <w:r w:rsidRPr="000E0C03">
        <w:rPr>
          <w:rFonts w:cs="Calibri"/>
        </w:rPr>
        <w:t>Esta nota no le aplica al ente público</w:t>
      </w:r>
      <w:r w:rsidR="00AC4CC9">
        <w:rPr>
          <w:rFonts w:cs="Calibri"/>
        </w:rPr>
        <w:t>, no se han realizan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67CE3097" w14:textId="77777777" w:rsidR="00E83389" w:rsidRDefault="00E83389" w:rsidP="00CB41C4">
      <w:pPr>
        <w:tabs>
          <w:tab w:val="left" w:leader="underscore" w:pos="9639"/>
        </w:tabs>
        <w:spacing w:after="0" w:line="240" w:lineRule="auto"/>
        <w:jc w:val="both"/>
        <w:rPr>
          <w:rFonts w:cs="Calibri"/>
          <w:b/>
        </w:rPr>
      </w:pPr>
    </w:p>
    <w:p w14:paraId="4190001D" w14:textId="42162D21"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C45EF42" w:rsidR="007D1E76" w:rsidRPr="00E74967" w:rsidRDefault="00D8706B" w:rsidP="00CB41C4">
      <w:pPr>
        <w:tabs>
          <w:tab w:val="left" w:leader="underscore" w:pos="9639"/>
        </w:tabs>
        <w:spacing w:after="0" w:line="240" w:lineRule="auto"/>
        <w:jc w:val="both"/>
        <w:rPr>
          <w:rFonts w:cs="Calibri"/>
        </w:rPr>
      </w:pPr>
      <w:r>
        <w:rPr>
          <w:rFonts w:cs="Calibri"/>
        </w:rPr>
        <w:t>Las reservas son creadas con el fin de comprometer el recurso aprobado para que pueda ser ejercido.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410AD9CD" w:rsidR="007D1E76" w:rsidRPr="00E74967" w:rsidRDefault="000E0C03" w:rsidP="00CB41C4">
      <w:pPr>
        <w:tabs>
          <w:tab w:val="left" w:leader="underscore" w:pos="9639"/>
        </w:tabs>
        <w:spacing w:after="0" w:line="240" w:lineRule="auto"/>
        <w:jc w:val="both"/>
        <w:rPr>
          <w:rFonts w:cs="Calibri"/>
        </w:rPr>
      </w:pPr>
      <w:r>
        <w:rPr>
          <w:rFonts w:cs="Calibri"/>
        </w:rPr>
        <w:t>El ultimo cambio realizado a los Estados financieros, fueron los establecidos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2BBCBC00" w:rsidR="007D1E76" w:rsidRPr="00E74967" w:rsidRDefault="000E0C03" w:rsidP="00CB41C4">
      <w:pPr>
        <w:tabs>
          <w:tab w:val="left" w:leader="underscore" w:pos="9639"/>
        </w:tabs>
        <w:spacing w:after="0" w:line="240" w:lineRule="auto"/>
        <w:jc w:val="both"/>
        <w:rPr>
          <w:rFonts w:cs="Calibri"/>
        </w:rPr>
      </w:pPr>
      <w:r>
        <w:rPr>
          <w:rFonts w:cs="Calibri"/>
        </w:rPr>
        <w:t>Se aplican las disposiciones que emite el CONAC</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028519B4" w:rsidR="007D1E76" w:rsidRPr="00E74967" w:rsidRDefault="000E0C03" w:rsidP="00CB41C4">
      <w:pPr>
        <w:tabs>
          <w:tab w:val="left" w:leader="underscore" w:pos="9639"/>
        </w:tabs>
        <w:spacing w:after="0" w:line="240" w:lineRule="auto"/>
        <w:jc w:val="both"/>
        <w:rPr>
          <w:rFonts w:cs="Calibri"/>
        </w:rPr>
      </w:pPr>
      <w:r>
        <w:rPr>
          <w:rFonts w:cs="Calibri"/>
        </w:rPr>
        <w:t>No se realizaron depuraciones o cancelación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E9EA9B0" w:rsidR="00E00323"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657CEF9" w14:textId="77777777" w:rsidR="003B72E6" w:rsidRDefault="003B72E6" w:rsidP="00CB41C4">
      <w:pPr>
        <w:tabs>
          <w:tab w:val="left" w:leader="underscore" w:pos="9639"/>
        </w:tabs>
        <w:spacing w:after="0" w:line="240" w:lineRule="auto"/>
        <w:jc w:val="both"/>
        <w:rPr>
          <w:rFonts w:cs="Calibri"/>
        </w:rPr>
      </w:pPr>
    </w:p>
    <w:p w14:paraId="0B7AA030" w14:textId="77777777" w:rsidR="000341B3" w:rsidRPr="00E74967" w:rsidRDefault="000341B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2D30AFC9"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580984">
        <w:rPr>
          <w:rFonts w:cs="Calibri"/>
        </w:rPr>
        <w:t>, ya que no se realizan operaciones en el extranjero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29C8A2D9"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580984">
        <w:rPr>
          <w:rFonts w:cs="Calibri"/>
        </w:rPr>
        <w:t>, ya que no se realizan operaciones en el extranjero</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3A07618D"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105231A3"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18DC9180" w:rsidR="007D1E76" w:rsidRPr="00E74967" w:rsidRDefault="000E0C03" w:rsidP="00CB41C4">
      <w:pPr>
        <w:tabs>
          <w:tab w:val="left" w:leader="underscore" w:pos="9639"/>
        </w:tabs>
        <w:spacing w:after="0" w:line="240" w:lineRule="auto"/>
        <w:jc w:val="both"/>
        <w:rPr>
          <w:rFonts w:cs="Calibri"/>
        </w:rPr>
      </w:pPr>
      <w:r>
        <w:rPr>
          <w:rFonts w:cs="Calibri"/>
        </w:rPr>
        <w:t>Esta nota no le aplica al ente público</w:t>
      </w:r>
      <w:r w:rsidR="008E3742">
        <w:rPr>
          <w:rFonts w:cs="Calibri"/>
        </w:rPr>
        <w:t>, ya que no se realizan operaciones en el extranjero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Default="007D1E76" w:rsidP="00CB41C4">
      <w:pPr>
        <w:tabs>
          <w:tab w:val="left" w:leader="underscore" w:pos="9639"/>
        </w:tabs>
        <w:spacing w:after="0" w:line="240" w:lineRule="auto"/>
        <w:jc w:val="both"/>
        <w:rPr>
          <w:rFonts w:cs="Calibri"/>
        </w:rPr>
      </w:pPr>
    </w:p>
    <w:p w14:paraId="473AEC29" w14:textId="77777777" w:rsidR="00E83389" w:rsidRPr="00E74967" w:rsidRDefault="00E83389" w:rsidP="00CB41C4">
      <w:pPr>
        <w:tabs>
          <w:tab w:val="left" w:leader="underscore" w:pos="9639"/>
        </w:tabs>
        <w:spacing w:after="0" w:line="240" w:lineRule="auto"/>
        <w:jc w:val="both"/>
        <w:rPr>
          <w:rFonts w:cs="Calibri"/>
        </w:rPr>
      </w:pPr>
    </w:p>
    <w:p w14:paraId="6B0A6883" w14:textId="3CC69B95"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63526C9F" w14:textId="77777777" w:rsidR="003B72E6" w:rsidRDefault="003B72E6" w:rsidP="00CB41C4">
      <w:pPr>
        <w:tabs>
          <w:tab w:val="left" w:leader="underscore" w:pos="9639"/>
        </w:tabs>
        <w:spacing w:after="0" w:line="240" w:lineRule="auto"/>
        <w:jc w:val="both"/>
        <w:rPr>
          <w:rFonts w:cs="Calibri"/>
        </w:rPr>
      </w:pPr>
    </w:p>
    <w:p w14:paraId="6157599A" w14:textId="77777777" w:rsidR="00E83389" w:rsidRDefault="00E83389" w:rsidP="00CB41C4">
      <w:pPr>
        <w:tabs>
          <w:tab w:val="left" w:leader="underscore" w:pos="9639"/>
        </w:tabs>
        <w:spacing w:after="0" w:line="240" w:lineRule="auto"/>
        <w:jc w:val="both"/>
        <w:rPr>
          <w:rFonts w:cs="Calibri"/>
        </w:rPr>
      </w:pPr>
    </w:p>
    <w:p w14:paraId="507B58C0" w14:textId="77777777" w:rsidR="000341B3" w:rsidRPr="00E74967" w:rsidRDefault="000341B3"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5B6A1C8F" w:rsidR="007D1E76" w:rsidRPr="00E74967" w:rsidRDefault="000341B3" w:rsidP="00CB41C4">
      <w:pPr>
        <w:tabs>
          <w:tab w:val="left" w:leader="underscore" w:pos="9639"/>
        </w:tabs>
        <w:spacing w:after="0" w:line="240" w:lineRule="auto"/>
        <w:jc w:val="both"/>
        <w:rPr>
          <w:rFonts w:cs="Calibri"/>
        </w:rPr>
      </w:pPr>
      <w:r w:rsidRPr="000341B3">
        <w:rPr>
          <w:rFonts w:cs="Calibri"/>
          <w:noProof/>
        </w:rPr>
        <w:drawing>
          <wp:inline distT="0" distB="0" distL="0" distR="0" wp14:anchorId="10D674D7" wp14:editId="0E4D1C3F">
            <wp:extent cx="5934903" cy="2829320"/>
            <wp:effectExtent l="0" t="0" r="0" b="9525"/>
            <wp:docPr id="845986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86247" name=""/>
                    <pic:cNvPicPr/>
                  </pic:nvPicPr>
                  <pic:blipFill>
                    <a:blip r:embed="rId14"/>
                    <a:stretch>
                      <a:fillRect/>
                    </a:stretch>
                  </pic:blipFill>
                  <pic:spPr>
                    <a:xfrm>
                      <a:off x="0" y="0"/>
                      <a:ext cx="5934903" cy="2829320"/>
                    </a:xfrm>
                    <a:prstGeom prst="rect">
                      <a:avLst/>
                    </a:prstGeom>
                  </pic:spPr>
                </pic:pic>
              </a:graphicData>
            </a:graphic>
          </wp:inline>
        </w:drawing>
      </w:r>
    </w:p>
    <w:p w14:paraId="2B914A04" w14:textId="77777777" w:rsidR="007D1E76" w:rsidRDefault="007D1E76" w:rsidP="00CB41C4">
      <w:pPr>
        <w:tabs>
          <w:tab w:val="left" w:leader="underscore" w:pos="9639"/>
        </w:tabs>
        <w:spacing w:after="0" w:line="240" w:lineRule="auto"/>
        <w:jc w:val="both"/>
        <w:rPr>
          <w:rFonts w:cs="Calibri"/>
        </w:rPr>
      </w:pPr>
    </w:p>
    <w:p w14:paraId="63D127B3" w14:textId="77777777" w:rsidR="000341B3" w:rsidRPr="00E74967" w:rsidRDefault="000341B3"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455D2BF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r w:rsidR="00D8706B">
        <w:rPr>
          <w:rFonts w:cs="Calibri"/>
        </w:rPr>
        <w:t xml:space="preserve"> ya que no se han realizado cambio en los porcentajes de depreciación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27A7A5C3" w:rsidR="007D1E76" w:rsidRDefault="00F1627C" w:rsidP="00CB41C4">
      <w:pPr>
        <w:tabs>
          <w:tab w:val="left" w:leader="underscore" w:pos="9639"/>
        </w:tabs>
        <w:spacing w:after="0" w:line="240" w:lineRule="auto"/>
        <w:jc w:val="both"/>
        <w:rPr>
          <w:rFonts w:cs="Calibri"/>
        </w:rPr>
      </w:pPr>
      <w:r>
        <w:rPr>
          <w:rFonts w:cs="Calibri"/>
        </w:rPr>
        <w:t>Esta nota no le aplica al ente público</w:t>
      </w:r>
      <w:r w:rsidR="00D8706B">
        <w:rPr>
          <w:rFonts w:cs="Calibri"/>
        </w:rPr>
        <w:t xml:space="preserve"> ya que no se ha n realizado gastos en </w:t>
      </w:r>
      <w:proofErr w:type="spellStart"/>
      <w:r w:rsidR="00D8706B">
        <w:rPr>
          <w:rFonts w:cs="Calibri"/>
        </w:rPr>
        <w:t>inventigación</w:t>
      </w:r>
      <w:proofErr w:type="spellEnd"/>
      <w:r w:rsidR="00D8706B">
        <w:rPr>
          <w:rFonts w:cs="Calibri"/>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0E1810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se tienen inversiones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2620F1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cuenta con bienes inmuebles</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58DD4ED5" w:rsidR="007D1E76" w:rsidRDefault="00F1627C" w:rsidP="00CB41C4">
      <w:pPr>
        <w:tabs>
          <w:tab w:val="left" w:leader="underscore" w:pos="9639"/>
        </w:tabs>
        <w:spacing w:after="0" w:line="240" w:lineRule="auto"/>
        <w:jc w:val="both"/>
        <w:rPr>
          <w:rFonts w:cs="Calibri"/>
        </w:rPr>
      </w:pPr>
      <w:r>
        <w:rPr>
          <w:rFonts w:cs="Calibri"/>
        </w:rPr>
        <w:t>Esta nota no le aplica al ente público</w:t>
      </w:r>
    </w:p>
    <w:p w14:paraId="181522BF" w14:textId="77777777" w:rsidR="00F1627C" w:rsidRPr="00E74967" w:rsidRDefault="00F1627C"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3D2615F9"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925CE11" w:rsidR="007D1E76" w:rsidRPr="00E74967" w:rsidRDefault="00F1627C" w:rsidP="00CB41C4">
      <w:pPr>
        <w:tabs>
          <w:tab w:val="left" w:leader="underscore" w:pos="9639"/>
        </w:tabs>
        <w:spacing w:after="0" w:line="240" w:lineRule="auto"/>
        <w:jc w:val="both"/>
        <w:rPr>
          <w:rFonts w:cs="Calibri"/>
        </w:rPr>
      </w:pPr>
      <w:r>
        <w:rPr>
          <w:rFonts w:cs="Calibri"/>
        </w:rPr>
        <w:t>Los activos se siguen administrando por cada área para obtener una efectiva utilización</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3A5F4F7F"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maneja inversiones de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75799592"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546C0B75"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0006670"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 ya que no tiene inversiones en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3A66B5D9" w:rsidR="007D1E76" w:rsidRPr="00E74967" w:rsidRDefault="00F1627C" w:rsidP="00CB41C4">
      <w:pPr>
        <w:tabs>
          <w:tab w:val="left" w:leader="underscore" w:pos="9639"/>
        </w:tabs>
        <w:spacing w:after="0" w:line="240" w:lineRule="auto"/>
        <w:jc w:val="both"/>
        <w:rPr>
          <w:rFonts w:cs="Calibri"/>
        </w:rPr>
      </w:pPr>
      <w:r>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49964F7C"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50DCAC30" w14:textId="77777777" w:rsidR="003B72E6" w:rsidRDefault="003B72E6" w:rsidP="00CB41C4">
      <w:pPr>
        <w:tabs>
          <w:tab w:val="left" w:leader="underscore" w:pos="9639"/>
        </w:tabs>
        <w:spacing w:after="0" w:line="240" w:lineRule="auto"/>
        <w:jc w:val="both"/>
        <w:rPr>
          <w:rFonts w:cs="Calibri"/>
        </w:rPr>
      </w:pPr>
    </w:p>
    <w:p w14:paraId="7CC7FCF6" w14:textId="77777777" w:rsidR="000341B3" w:rsidRPr="00E74967" w:rsidRDefault="000341B3"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115B1389" w:rsidR="007D1E76" w:rsidRPr="00E74967"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08DD78FF" w:rsidR="007D1E76" w:rsidRDefault="00355EE7" w:rsidP="00CB41C4">
      <w:pPr>
        <w:tabs>
          <w:tab w:val="left" w:leader="underscore" w:pos="9639"/>
        </w:tabs>
        <w:spacing w:after="0" w:line="240" w:lineRule="auto"/>
        <w:jc w:val="both"/>
        <w:rPr>
          <w:rFonts w:cs="Calibri"/>
        </w:rPr>
      </w:pPr>
      <w:r>
        <w:rPr>
          <w:rFonts w:cs="Calibri"/>
        </w:rPr>
        <w:t>Esta nota no le aplica al ente público ya que no se tiene fideicomisos, mandatos y análogos</w:t>
      </w:r>
    </w:p>
    <w:p w14:paraId="09EA0E2B" w14:textId="732E450F" w:rsidR="003B72E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03AB3A3A" w14:textId="77777777" w:rsidR="007D1E76" w:rsidRDefault="007D1E76" w:rsidP="00CB41C4">
      <w:pPr>
        <w:tabs>
          <w:tab w:val="left" w:leader="underscore" w:pos="9639"/>
        </w:tabs>
        <w:spacing w:after="0" w:line="240" w:lineRule="auto"/>
        <w:jc w:val="both"/>
        <w:rPr>
          <w:rFonts w:cs="Calibri"/>
        </w:rPr>
      </w:pPr>
    </w:p>
    <w:p w14:paraId="431E77E6" w14:textId="77777777" w:rsidR="000341B3" w:rsidRPr="00E74967" w:rsidRDefault="000341B3"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6A02F9E9" w:rsidR="007D1E76" w:rsidRDefault="00355EE7" w:rsidP="00CB41C4">
      <w:pPr>
        <w:tabs>
          <w:tab w:val="left" w:leader="underscore" w:pos="9639"/>
        </w:tabs>
        <w:spacing w:after="0" w:line="240" w:lineRule="auto"/>
        <w:jc w:val="both"/>
        <w:rPr>
          <w:rFonts w:cs="Calibri"/>
        </w:rPr>
      </w:pPr>
      <w:r>
        <w:rPr>
          <w:rFonts w:cs="Calibri"/>
        </w:rPr>
        <w:t>El ente público a la fecha no ha recibido ingresos locales de los federales</w:t>
      </w:r>
    </w:p>
    <w:p w14:paraId="4D2E3CFF" w14:textId="77777777" w:rsidR="00355EE7" w:rsidRDefault="00355EE7" w:rsidP="00CB41C4">
      <w:pPr>
        <w:tabs>
          <w:tab w:val="left" w:leader="underscore" w:pos="9639"/>
        </w:tabs>
        <w:spacing w:after="0" w:line="240" w:lineRule="auto"/>
        <w:jc w:val="both"/>
        <w:rPr>
          <w:rFonts w:cs="Calibri"/>
        </w:rPr>
      </w:pPr>
    </w:p>
    <w:p w14:paraId="10012D5E" w14:textId="4C36C1D5" w:rsidR="00355EE7" w:rsidRDefault="00355EE7" w:rsidP="00CB41C4">
      <w:pPr>
        <w:tabs>
          <w:tab w:val="left" w:leader="underscore" w:pos="9639"/>
        </w:tabs>
        <w:spacing w:after="0" w:line="240" w:lineRule="auto"/>
        <w:jc w:val="both"/>
        <w:rPr>
          <w:rFonts w:cs="Calibri"/>
        </w:rPr>
      </w:pPr>
      <w:r>
        <w:rPr>
          <w:rFonts w:cs="Calibri"/>
        </w:rPr>
        <w:t xml:space="preserve">Del ingreso al </w:t>
      </w:r>
      <w:r w:rsidR="00741B25">
        <w:rPr>
          <w:rFonts w:cs="Calibri"/>
        </w:rPr>
        <w:t>tercer</w:t>
      </w:r>
      <w:r>
        <w:rPr>
          <w:rFonts w:cs="Calibri"/>
        </w:rPr>
        <w:t xml:space="preserve"> trimestre se ha recaudado un total de:</w:t>
      </w:r>
    </w:p>
    <w:p w14:paraId="3C9B7BAC" w14:textId="716EBEC4" w:rsidR="00355EE7" w:rsidRPr="00355EE7" w:rsidRDefault="00355EE7" w:rsidP="00355EE7">
      <w:pPr>
        <w:pStyle w:val="Prrafodelista"/>
        <w:numPr>
          <w:ilvl w:val="0"/>
          <w:numId w:val="5"/>
        </w:numPr>
        <w:tabs>
          <w:tab w:val="left" w:leader="underscore" w:pos="9639"/>
        </w:tabs>
        <w:spacing w:after="0" w:line="240" w:lineRule="auto"/>
        <w:jc w:val="both"/>
        <w:rPr>
          <w:rFonts w:cs="Calibri"/>
        </w:rPr>
      </w:pPr>
      <w:r>
        <w:rPr>
          <w:rFonts w:cs="Calibri"/>
        </w:rPr>
        <w:t>Recursos Fiscales 202</w:t>
      </w:r>
      <w:r w:rsidR="00806787">
        <w:rPr>
          <w:rFonts w:cs="Calibri"/>
        </w:rPr>
        <w:t>5</w:t>
      </w:r>
      <w:r>
        <w:rPr>
          <w:rFonts w:cs="Calibri"/>
        </w:rPr>
        <w:t xml:space="preserve">   </w:t>
      </w:r>
      <w:r w:rsidR="00741B25">
        <w:rPr>
          <w:rFonts w:cs="Calibri"/>
        </w:rPr>
        <w:t>75</w:t>
      </w:r>
      <w:r>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57670ED4" w:rsidR="007D1E76" w:rsidRDefault="0036350D" w:rsidP="00CB41C4">
      <w:pPr>
        <w:tabs>
          <w:tab w:val="left" w:leader="underscore" w:pos="9639"/>
        </w:tabs>
        <w:spacing w:after="0" w:line="240" w:lineRule="auto"/>
        <w:jc w:val="both"/>
        <w:rPr>
          <w:rFonts w:cs="Calibri"/>
        </w:rPr>
      </w:pPr>
      <w:r>
        <w:rPr>
          <w:rFonts w:cs="Calibri"/>
        </w:rPr>
        <w:t xml:space="preserve"> </w:t>
      </w:r>
      <w:r w:rsidR="00994B77">
        <w:rPr>
          <w:rFonts w:cs="Calibri"/>
        </w:rPr>
        <w:t>De la proyección de ingresos en mediano plazo, sería:</w:t>
      </w:r>
    </w:p>
    <w:p w14:paraId="4310F078" w14:textId="3C46B8FF" w:rsidR="00994B77" w:rsidRPr="00994B77" w:rsidRDefault="00994B77" w:rsidP="00994B77">
      <w:pPr>
        <w:pStyle w:val="Prrafodelista"/>
        <w:numPr>
          <w:ilvl w:val="0"/>
          <w:numId w:val="5"/>
        </w:numPr>
        <w:tabs>
          <w:tab w:val="left" w:leader="underscore" w:pos="9639"/>
        </w:tabs>
        <w:spacing w:after="0" w:line="240" w:lineRule="auto"/>
        <w:jc w:val="both"/>
        <w:rPr>
          <w:rFonts w:cs="Calibri"/>
        </w:rPr>
      </w:pPr>
      <w:r>
        <w:rPr>
          <w:rFonts w:cs="Calibri"/>
        </w:rPr>
        <w:t xml:space="preserve">Recursos Fiscales </w:t>
      </w:r>
      <w:r w:rsidR="00B617EA">
        <w:rPr>
          <w:rFonts w:cs="Calibri"/>
        </w:rPr>
        <w:t>202</w:t>
      </w:r>
      <w:r w:rsidR="00806787">
        <w:rPr>
          <w:rFonts w:cs="Calibri"/>
        </w:rPr>
        <w:t>5</w:t>
      </w:r>
      <w:r w:rsidR="00B617EA">
        <w:rPr>
          <w:rFonts w:cs="Calibri"/>
        </w:rPr>
        <w:t xml:space="preserve"> recabar</w:t>
      </w:r>
      <w:r>
        <w:rPr>
          <w:rFonts w:cs="Calibri"/>
        </w:rPr>
        <w:t xml:space="preserve"> $4,</w:t>
      </w:r>
      <w:r w:rsidR="00806787">
        <w:rPr>
          <w:rFonts w:cs="Calibri"/>
        </w:rPr>
        <w:t>843</w:t>
      </w:r>
      <w:r>
        <w:rPr>
          <w:rFonts w:cs="Calibri"/>
        </w:rPr>
        <w:t>,</w:t>
      </w:r>
      <w:r w:rsidR="00806787">
        <w:rPr>
          <w:rFonts w:cs="Calibri"/>
        </w:rPr>
        <w:t>8</w:t>
      </w:r>
      <w:r>
        <w:rPr>
          <w:rFonts w:cs="Calibri"/>
        </w:rPr>
        <w:t>00.00</w:t>
      </w:r>
    </w:p>
    <w:p w14:paraId="7C4CE7E2" w14:textId="77777777" w:rsidR="007D1E76" w:rsidRDefault="007D1E76" w:rsidP="00CB41C4">
      <w:pPr>
        <w:tabs>
          <w:tab w:val="left" w:leader="underscore" w:pos="9639"/>
        </w:tabs>
        <w:spacing w:after="0" w:line="240" w:lineRule="auto"/>
        <w:jc w:val="both"/>
        <w:rPr>
          <w:rFonts w:cs="Calibri"/>
        </w:rPr>
      </w:pPr>
    </w:p>
    <w:p w14:paraId="05F2939B" w14:textId="77777777" w:rsidR="000341B3" w:rsidRDefault="000341B3" w:rsidP="00CB41C4">
      <w:pPr>
        <w:tabs>
          <w:tab w:val="left" w:leader="underscore" w:pos="9639"/>
        </w:tabs>
        <w:spacing w:after="0" w:line="240" w:lineRule="auto"/>
        <w:jc w:val="both"/>
        <w:rPr>
          <w:rFonts w:cs="Calibri"/>
        </w:rPr>
      </w:pPr>
    </w:p>
    <w:p w14:paraId="26FDB1A9" w14:textId="6C7ABEB6" w:rsidR="00231FBE"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529FD92" w14:textId="2284B02D" w:rsidR="00994B77" w:rsidRPr="00E74967" w:rsidRDefault="00994B77" w:rsidP="00CB41C4">
      <w:pPr>
        <w:tabs>
          <w:tab w:val="left" w:leader="underscore" w:pos="9639"/>
        </w:tabs>
        <w:spacing w:after="0" w:line="240" w:lineRule="auto"/>
        <w:jc w:val="both"/>
        <w:rPr>
          <w:rFonts w:cs="Calibri"/>
        </w:rPr>
      </w:pPr>
      <w:r>
        <w:rPr>
          <w:rFonts w:cs="Calibri"/>
        </w:rPr>
        <w:t>Esta nota no el aplica al ente público, ya que no se tiene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9846F40" w14:textId="4A7F0F5D" w:rsidR="00994B77" w:rsidRPr="00E74967" w:rsidRDefault="00994B77" w:rsidP="00CB41C4">
      <w:pPr>
        <w:tabs>
          <w:tab w:val="left" w:leader="underscore" w:pos="9639"/>
        </w:tabs>
        <w:spacing w:after="0" w:line="240" w:lineRule="auto"/>
        <w:jc w:val="both"/>
        <w:rPr>
          <w:rFonts w:cs="Calibri"/>
        </w:rPr>
      </w:pPr>
      <w:r>
        <w:rPr>
          <w:rFonts w:cs="Calibri"/>
        </w:rPr>
        <w:t>Esta nota no le aplica al ente público, ya que no se tiene deuda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26BEA6CF"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42258D40" w14:textId="77777777" w:rsidR="003B72E6" w:rsidRDefault="003B72E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42EC51BC" w:rsidR="007D1E76" w:rsidRPr="00E74967" w:rsidRDefault="00994B77" w:rsidP="00CB41C4">
      <w:pPr>
        <w:tabs>
          <w:tab w:val="left" w:leader="underscore" w:pos="9639"/>
        </w:tabs>
        <w:spacing w:after="0" w:line="240" w:lineRule="auto"/>
        <w:jc w:val="both"/>
        <w:rPr>
          <w:rFonts w:cs="Calibri"/>
        </w:rPr>
      </w:pPr>
      <w:r>
        <w:rPr>
          <w:rFonts w:cs="Calibri"/>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46D9E60"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2F123B" w14:textId="77777777" w:rsidR="003B72E6" w:rsidRDefault="003B72E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79583B" w14:textId="4BB5BCFA" w:rsidR="00994B77" w:rsidRDefault="00994B77" w:rsidP="00CB41C4">
      <w:pPr>
        <w:tabs>
          <w:tab w:val="left" w:leader="underscore" w:pos="9639"/>
        </w:tabs>
        <w:spacing w:after="0" w:line="240" w:lineRule="auto"/>
        <w:jc w:val="both"/>
        <w:rPr>
          <w:rFonts w:cs="Calibri"/>
        </w:rPr>
      </w:pPr>
      <w:r>
        <w:rPr>
          <w:rFonts w:cs="Calibri"/>
        </w:rPr>
        <w:t>1. Manual de Organización y Procedimientos</w:t>
      </w:r>
    </w:p>
    <w:p w14:paraId="5403A580" w14:textId="1CD6F2CF" w:rsidR="00994B77" w:rsidRDefault="00994B77" w:rsidP="00CB41C4">
      <w:pPr>
        <w:tabs>
          <w:tab w:val="left" w:leader="underscore" w:pos="9639"/>
        </w:tabs>
        <w:spacing w:after="0" w:line="240" w:lineRule="auto"/>
        <w:jc w:val="both"/>
        <w:rPr>
          <w:rFonts w:cs="Calibri"/>
        </w:rPr>
      </w:pPr>
      <w:r>
        <w:rPr>
          <w:rFonts w:cs="Calibri"/>
        </w:rPr>
        <w:t xml:space="preserve">2. </w:t>
      </w:r>
      <w:r w:rsidR="003B72E6">
        <w:rPr>
          <w:rFonts w:cs="Calibri"/>
        </w:rPr>
        <w:t>Reglamento Interior del IMSM</w:t>
      </w:r>
    </w:p>
    <w:p w14:paraId="0132FB08" w14:textId="6B1E168A"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39C248CC" w:rsidR="007D1E76" w:rsidRPr="00E74967" w:rsidRDefault="003B72E6" w:rsidP="00CB41C4">
      <w:pPr>
        <w:tabs>
          <w:tab w:val="left" w:leader="underscore" w:pos="9639"/>
        </w:tabs>
        <w:spacing w:after="0" w:line="240" w:lineRule="auto"/>
        <w:jc w:val="both"/>
        <w:rPr>
          <w:rFonts w:cs="Calibri"/>
        </w:rPr>
      </w:pPr>
      <w:r>
        <w:rPr>
          <w:rFonts w:cs="Calibri"/>
        </w:rPr>
        <w:t>Programa Operativo Anual</w:t>
      </w:r>
    </w:p>
    <w:p w14:paraId="6DD757EA" w14:textId="4AE57ABF" w:rsidR="007D1E76" w:rsidRPr="00E74967"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3CC5AB88" w14:textId="77777777" w:rsidR="000341B3" w:rsidRPr="00E74967" w:rsidRDefault="000341B3"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10DD8677"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lastRenderedPageBreak/>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2452AB90"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3B72E6">
        <w:rPr>
          <w:rFonts w:cs="Calibri"/>
        </w:rPr>
        <w:t>No se tiene eventos posteriores al cierre que afecten la información financiera emitida en este periodo</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5C338F02"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7723781F" w14:textId="77777777" w:rsidR="003B72E6" w:rsidRDefault="003B72E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2A80B127" w:rsidR="007D1E76" w:rsidRPr="00E74967" w:rsidRDefault="003B72E6" w:rsidP="00CB41C4">
      <w:pPr>
        <w:tabs>
          <w:tab w:val="left" w:leader="underscore" w:pos="9639"/>
        </w:tabs>
        <w:spacing w:after="0" w:line="240" w:lineRule="auto"/>
        <w:jc w:val="both"/>
        <w:rPr>
          <w:rFonts w:cs="Calibri"/>
        </w:rPr>
      </w:pPr>
      <w:r>
        <w:rPr>
          <w:rFonts w:cs="Calibri"/>
        </w:rPr>
        <w:t>El Instituto no cuenta con partes relacionadas que puedan influenciar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10CAB81D" w:rsidR="007D1E7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1DD8DA97" w14:textId="77777777" w:rsidR="000341B3" w:rsidRPr="00E74967" w:rsidRDefault="000341B3"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04B94F5E" w14:textId="77777777" w:rsidR="000341B3" w:rsidRDefault="000341B3" w:rsidP="00CB41C4">
      <w:pPr>
        <w:tabs>
          <w:tab w:val="left" w:leader="underscore" w:pos="9639"/>
        </w:tabs>
        <w:spacing w:after="0" w:line="240" w:lineRule="auto"/>
        <w:jc w:val="both"/>
        <w:rPr>
          <w:rFonts w:cs="Calibri"/>
        </w:rPr>
      </w:pPr>
    </w:p>
    <w:p w14:paraId="20E84E5C" w14:textId="6D1CCB8A" w:rsidR="003B72E6" w:rsidRDefault="003B72E6"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w:t>
      </w:r>
    </w:p>
    <w:p w14:paraId="2F31F44A" w14:textId="77777777" w:rsidR="00B617EA" w:rsidRDefault="00B617EA" w:rsidP="00CB41C4">
      <w:pPr>
        <w:tabs>
          <w:tab w:val="left" w:leader="underscore" w:pos="9639"/>
        </w:tabs>
        <w:spacing w:after="0" w:line="240" w:lineRule="auto"/>
        <w:jc w:val="both"/>
        <w:rPr>
          <w:rFonts w:cs="Calibri"/>
        </w:rPr>
      </w:pPr>
    </w:p>
    <w:p w14:paraId="7A44E0FB" w14:textId="77777777" w:rsidR="00B617EA" w:rsidRDefault="00B617EA" w:rsidP="00CB41C4">
      <w:pPr>
        <w:tabs>
          <w:tab w:val="left" w:leader="underscore" w:pos="9639"/>
        </w:tabs>
        <w:spacing w:after="0" w:line="240" w:lineRule="auto"/>
        <w:jc w:val="both"/>
        <w:rPr>
          <w:rFonts w:cs="Calibri"/>
        </w:rPr>
      </w:pPr>
    </w:p>
    <w:p w14:paraId="7968CEE6" w14:textId="77777777" w:rsidR="00B617EA" w:rsidRDefault="00B617EA" w:rsidP="00CB41C4">
      <w:pPr>
        <w:tabs>
          <w:tab w:val="left" w:leader="underscore" w:pos="9639"/>
        </w:tabs>
        <w:spacing w:after="0" w:line="240" w:lineRule="auto"/>
        <w:jc w:val="both"/>
        <w:rPr>
          <w:rFonts w:cs="Calibri"/>
        </w:rPr>
      </w:pPr>
    </w:p>
    <w:p w14:paraId="3143F7F9" w14:textId="77777777" w:rsidR="000341B3" w:rsidRDefault="000341B3" w:rsidP="00CB41C4">
      <w:pPr>
        <w:tabs>
          <w:tab w:val="left" w:leader="underscore" w:pos="9639"/>
        </w:tabs>
        <w:spacing w:after="0" w:line="240" w:lineRule="auto"/>
        <w:jc w:val="both"/>
        <w:rPr>
          <w:rFonts w:cs="Calibri"/>
        </w:rPr>
      </w:pPr>
    </w:p>
    <w:p w14:paraId="6A865343" w14:textId="2530341D" w:rsidR="00B617EA" w:rsidRDefault="00B617EA" w:rsidP="00CB41C4">
      <w:pPr>
        <w:tabs>
          <w:tab w:val="left" w:leader="underscore" w:pos="9639"/>
        </w:tabs>
        <w:spacing w:after="0" w:line="240" w:lineRule="auto"/>
        <w:jc w:val="both"/>
        <w:rPr>
          <w:rFonts w:cs="Calibri"/>
        </w:rPr>
      </w:pPr>
      <w:r>
        <w:rPr>
          <w:rFonts w:cs="Calibri"/>
        </w:rPr>
        <w:t>__________________________________________</w:t>
      </w:r>
    </w:p>
    <w:p w14:paraId="1608BDB8" w14:textId="2E3BE15C" w:rsidR="00B617EA" w:rsidRDefault="00B617EA" w:rsidP="00CB41C4">
      <w:pPr>
        <w:tabs>
          <w:tab w:val="left" w:leader="underscore" w:pos="9639"/>
        </w:tabs>
        <w:spacing w:after="0" w:line="240" w:lineRule="auto"/>
        <w:jc w:val="both"/>
        <w:rPr>
          <w:rFonts w:cs="Calibri"/>
        </w:rPr>
      </w:pPr>
      <w:r>
        <w:rPr>
          <w:rFonts w:cs="Calibri"/>
        </w:rPr>
        <w:t>ELABORA</w:t>
      </w:r>
    </w:p>
    <w:p w14:paraId="450BEA92" w14:textId="62114213" w:rsidR="00B617EA" w:rsidRDefault="00B617EA" w:rsidP="00CB41C4">
      <w:pPr>
        <w:tabs>
          <w:tab w:val="left" w:leader="underscore" w:pos="9639"/>
        </w:tabs>
        <w:spacing w:after="0" w:line="240" w:lineRule="auto"/>
        <w:jc w:val="both"/>
        <w:rPr>
          <w:rFonts w:cs="Calibri"/>
        </w:rPr>
      </w:pPr>
      <w:r>
        <w:rPr>
          <w:rFonts w:cs="Calibri"/>
        </w:rPr>
        <w:t>C.P. YAMILA BELMAN QUINTANA</w:t>
      </w:r>
    </w:p>
    <w:p w14:paraId="44D9B53F" w14:textId="310F0568" w:rsidR="00B617EA" w:rsidRDefault="00B617EA" w:rsidP="00CB41C4">
      <w:pPr>
        <w:tabs>
          <w:tab w:val="left" w:leader="underscore" w:pos="9639"/>
        </w:tabs>
        <w:spacing w:after="0" w:line="240" w:lineRule="auto"/>
        <w:jc w:val="both"/>
        <w:rPr>
          <w:rFonts w:cs="Calibri"/>
        </w:rPr>
      </w:pPr>
      <w:r>
        <w:rPr>
          <w:rFonts w:cs="Calibri"/>
        </w:rPr>
        <w:t>DEPTO. CONTABLE</w:t>
      </w:r>
      <w:r w:rsidR="00055E39">
        <w:rPr>
          <w:rFonts w:cs="Calibri"/>
        </w:rPr>
        <w:t xml:space="preserve"> DEL IMSM</w:t>
      </w:r>
    </w:p>
    <w:p w14:paraId="2A3F73F0" w14:textId="77777777" w:rsidR="00B617EA" w:rsidRDefault="00B617EA" w:rsidP="00CB41C4">
      <w:pPr>
        <w:tabs>
          <w:tab w:val="left" w:leader="underscore" w:pos="9639"/>
        </w:tabs>
        <w:spacing w:after="0" w:line="240" w:lineRule="auto"/>
        <w:jc w:val="both"/>
        <w:rPr>
          <w:rFonts w:cs="Calibri"/>
        </w:rPr>
      </w:pPr>
    </w:p>
    <w:p w14:paraId="1AB24E7C" w14:textId="77777777" w:rsidR="00B617EA" w:rsidRDefault="00B617EA" w:rsidP="00CB41C4">
      <w:pPr>
        <w:tabs>
          <w:tab w:val="left" w:leader="underscore" w:pos="9639"/>
        </w:tabs>
        <w:spacing w:after="0" w:line="240" w:lineRule="auto"/>
        <w:jc w:val="both"/>
        <w:rPr>
          <w:rFonts w:cs="Calibri"/>
        </w:rPr>
      </w:pPr>
    </w:p>
    <w:p w14:paraId="0FF275DB" w14:textId="77777777" w:rsidR="00B617EA" w:rsidRDefault="00B617EA" w:rsidP="00CB41C4">
      <w:pPr>
        <w:tabs>
          <w:tab w:val="left" w:leader="underscore" w:pos="9639"/>
        </w:tabs>
        <w:spacing w:after="0" w:line="240" w:lineRule="auto"/>
        <w:jc w:val="both"/>
        <w:rPr>
          <w:rFonts w:cs="Calibri"/>
        </w:rPr>
      </w:pPr>
    </w:p>
    <w:p w14:paraId="69414421" w14:textId="3B6B79E6" w:rsidR="00B617EA" w:rsidRDefault="00B617EA" w:rsidP="00CB41C4">
      <w:pPr>
        <w:tabs>
          <w:tab w:val="left" w:leader="underscore" w:pos="9639"/>
        </w:tabs>
        <w:spacing w:after="0" w:line="240" w:lineRule="auto"/>
        <w:jc w:val="both"/>
        <w:rPr>
          <w:rFonts w:cs="Calibri"/>
        </w:rPr>
      </w:pPr>
      <w:r>
        <w:rPr>
          <w:rFonts w:cs="Calibri"/>
        </w:rPr>
        <w:t>___________________________________________</w:t>
      </w:r>
    </w:p>
    <w:p w14:paraId="278D7348" w14:textId="1BEE8556" w:rsidR="00B617EA" w:rsidRDefault="00B617EA" w:rsidP="00CB41C4">
      <w:pPr>
        <w:tabs>
          <w:tab w:val="left" w:leader="underscore" w:pos="9639"/>
        </w:tabs>
        <w:spacing w:after="0" w:line="240" w:lineRule="auto"/>
        <w:jc w:val="both"/>
        <w:rPr>
          <w:rFonts w:cs="Calibri"/>
        </w:rPr>
      </w:pPr>
      <w:r>
        <w:rPr>
          <w:rFonts w:cs="Calibri"/>
        </w:rPr>
        <w:t>AUTORIZA</w:t>
      </w:r>
    </w:p>
    <w:p w14:paraId="05FAB84C" w14:textId="2C07DF82" w:rsidR="00B617EA" w:rsidRDefault="00B617EA" w:rsidP="00CB41C4">
      <w:pPr>
        <w:tabs>
          <w:tab w:val="left" w:leader="underscore" w:pos="9639"/>
        </w:tabs>
        <w:spacing w:after="0" w:line="240" w:lineRule="auto"/>
        <w:jc w:val="both"/>
        <w:rPr>
          <w:rFonts w:cs="Calibri"/>
        </w:rPr>
      </w:pPr>
      <w:r>
        <w:rPr>
          <w:rFonts w:cs="Calibri"/>
        </w:rPr>
        <w:t>LIC. YAHAIRA GUILLERMINA RODRIGUEZ MICHELENA</w:t>
      </w:r>
    </w:p>
    <w:p w14:paraId="5A3CAEA6" w14:textId="27ABA5A8" w:rsidR="00B617EA" w:rsidRPr="00E74967" w:rsidRDefault="00B617EA" w:rsidP="00055E39">
      <w:pPr>
        <w:tabs>
          <w:tab w:val="left" w:leader="underscore" w:pos="9639"/>
        </w:tabs>
        <w:spacing w:after="0" w:line="240" w:lineRule="auto"/>
        <w:jc w:val="both"/>
        <w:rPr>
          <w:rFonts w:cs="Calibri"/>
        </w:rPr>
      </w:pPr>
      <w:r>
        <w:rPr>
          <w:rFonts w:cs="Calibri"/>
        </w:rPr>
        <w:t>DIRECTORA GENERAL DEL I</w:t>
      </w:r>
      <w:r w:rsidR="00055E39">
        <w:rPr>
          <w:rFonts w:cs="Calibri"/>
        </w:rPr>
        <w:t>MSM</w:t>
      </w:r>
    </w:p>
    <w:sectPr w:rsidR="00B617EA" w:rsidRPr="00E74967" w:rsidSect="00E83389">
      <w:headerReference w:type="default" r:id="rId15"/>
      <w:footerReference w:type="default" r:id="rId16"/>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8280" w14:textId="77777777" w:rsidR="00397094" w:rsidRDefault="00397094" w:rsidP="00E00323">
      <w:pPr>
        <w:spacing w:after="0" w:line="240" w:lineRule="auto"/>
      </w:pPr>
      <w:r>
        <w:separator/>
      </w:r>
    </w:p>
  </w:endnote>
  <w:endnote w:type="continuationSeparator" w:id="0">
    <w:p w14:paraId="3A13CD00" w14:textId="77777777" w:rsidR="00397094" w:rsidRDefault="0039709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E439" w14:textId="77777777" w:rsidR="00397094" w:rsidRDefault="00397094" w:rsidP="00E00323">
      <w:pPr>
        <w:spacing w:after="0" w:line="240" w:lineRule="auto"/>
      </w:pPr>
      <w:r>
        <w:separator/>
      </w:r>
    </w:p>
  </w:footnote>
  <w:footnote w:type="continuationSeparator" w:id="0">
    <w:p w14:paraId="4A7F9CC5" w14:textId="77777777" w:rsidR="00397094" w:rsidRDefault="0039709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3A22098C" w:rsidR="00154BA3" w:rsidRDefault="00A155C0" w:rsidP="00A4610E">
    <w:pPr>
      <w:pStyle w:val="Encabezado"/>
      <w:spacing w:after="0" w:line="240" w:lineRule="auto"/>
      <w:jc w:val="center"/>
    </w:pPr>
    <w:r>
      <w:t>Instituto Municipal de Salamanca para las Mujeres</w:t>
    </w:r>
  </w:p>
  <w:p w14:paraId="651A4C4F" w14:textId="07EA0D92" w:rsidR="00A4610E" w:rsidRDefault="00A4610E" w:rsidP="00A4610E">
    <w:pPr>
      <w:pStyle w:val="Encabezado"/>
      <w:spacing w:after="0" w:line="240" w:lineRule="auto"/>
      <w:jc w:val="center"/>
    </w:pPr>
    <w:r w:rsidRPr="00A4610E">
      <w:t>CORRESPONDI</w:t>
    </w:r>
    <w:r w:rsidR="00DD018C">
      <w:t>E</w:t>
    </w:r>
    <w:r w:rsidRPr="00A4610E">
      <w:t xml:space="preserve">NTES AL </w:t>
    </w:r>
    <w:r w:rsidR="00A155C0">
      <w:t>3</w:t>
    </w:r>
    <w:r w:rsidR="00877812">
      <w:t>0</w:t>
    </w:r>
    <w:r w:rsidR="00A155C0">
      <w:t xml:space="preserve"> DE </w:t>
    </w:r>
    <w:r w:rsidR="00AB0CF3">
      <w:t>SEPTIEMBRE</w:t>
    </w:r>
    <w:r w:rsidR="00A155C0">
      <w:t xml:space="preserve"> 202</w:t>
    </w:r>
    <w:r w:rsidR="00F92B0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D4"/>
    <w:multiLevelType w:val="hybridMultilevel"/>
    <w:tmpl w:val="B85A0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771298"/>
    <w:multiLevelType w:val="hybridMultilevel"/>
    <w:tmpl w:val="1A1870B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 w15:restartNumberingAfterBreak="0">
    <w:nsid w:val="56A23DE5"/>
    <w:multiLevelType w:val="hybridMultilevel"/>
    <w:tmpl w:val="ECB44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A74188"/>
    <w:multiLevelType w:val="hybridMultilevel"/>
    <w:tmpl w:val="8850C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049038087">
    <w:abstractNumId w:val="4"/>
  </w:num>
  <w:num w:numId="3" w16cid:durableId="174148552">
    <w:abstractNumId w:val="0"/>
  </w:num>
  <w:num w:numId="4" w16cid:durableId="871965439">
    <w:abstractNumId w:val="1"/>
  </w:num>
  <w:num w:numId="5" w16cid:durableId="120443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41B3"/>
    <w:rsid w:val="00040D4F"/>
    <w:rsid w:val="00055E39"/>
    <w:rsid w:val="000759E4"/>
    <w:rsid w:val="00084EAE"/>
    <w:rsid w:val="00091CE6"/>
    <w:rsid w:val="000B7810"/>
    <w:rsid w:val="000C3365"/>
    <w:rsid w:val="000E0C03"/>
    <w:rsid w:val="00106EE9"/>
    <w:rsid w:val="0012405A"/>
    <w:rsid w:val="0012493A"/>
    <w:rsid w:val="00154BA3"/>
    <w:rsid w:val="001973A2"/>
    <w:rsid w:val="001C34BC"/>
    <w:rsid w:val="001C710C"/>
    <w:rsid w:val="001C75F2"/>
    <w:rsid w:val="001D2063"/>
    <w:rsid w:val="001D43E9"/>
    <w:rsid w:val="00200469"/>
    <w:rsid w:val="00210C32"/>
    <w:rsid w:val="00231FBE"/>
    <w:rsid w:val="00232175"/>
    <w:rsid w:val="0024740E"/>
    <w:rsid w:val="0026629A"/>
    <w:rsid w:val="002722DD"/>
    <w:rsid w:val="0027692F"/>
    <w:rsid w:val="00295B72"/>
    <w:rsid w:val="002C42A6"/>
    <w:rsid w:val="00314983"/>
    <w:rsid w:val="003453CA"/>
    <w:rsid w:val="00355EE7"/>
    <w:rsid w:val="0036350D"/>
    <w:rsid w:val="00396D53"/>
    <w:rsid w:val="00397094"/>
    <w:rsid w:val="003B3D75"/>
    <w:rsid w:val="003B72E6"/>
    <w:rsid w:val="003C0DAC"/>
    <w:rsid w:val="003E4F2C"/>
    <w:rsid w:val="003E6C64"/>
    <w:rsid w:val="003F7AE9"/>
    <w:rsid w:val="00423C8F"/>
    <w:rsid w:val="0043078C"/>
    <w:rsid w:val="00431560"/>
    <w:rsid w:val="0043583A"/>
    <w:rsid w:val="00435A87"/>
    <w:rsid w:val="004551ED"/>
    <w:rsid w:val="00495BFE"/>
    <w:rsid w:val="004A1077"/>
    <w:rsid w:val="004A58C8"/>
    <w:rsid w:val="004F234D"/>
    <w:rsid w:val="004F6FAC"/>
    <w:rsid w:val="005053EE"/>
    <w:rsid w:val="00516100"/>
    <w:rsid w:val="00516A8F"/>
    <w:rsid w:val="00524450"/>
    <w:rsid w:val="00540261"/>
    <w:rsid w:val="005402B8"/>
    <w:rsid w:val="0054701E"/>
    <w:rsid w:val="00580984"/>
    <w:rsid w:val="00581019"/>
    <w:rsid w:val="005B5531"/>
    <w:rsid w:val="005D3E43"/>
    <w:rsid w:val="005E231E"/>
    <w:rsid w:val="005F2900"/>
    <w:rsid w:val="005F51CC"/>
    <w:rsid w:val="00624B9C"/>
    <w:rsid w:val="0064059E"/>
    <w:rsid w:val="00657009"/>
    <w:rsid w:val="0067008A"/>
    <w:rsid w:val="00681C79"/>
    <w:rsid w:val="00685797"/>
    <w:rsid w:val="00687EE6"/>
    <w:rsid w:val="00694625"/>
    <w:rsid w:val="006B1ADF"/>
    <w:rsid w:val="006F0687"/>
    <w:rsid w:val="006F77A8"/>
    <w:rsid w:val="007123A8"/>
    <w:rsid w:val="007179D0"/>
    <w:rsid w:val="00741B25"/>
    <w:rsid w:val="007610BC"/>
    <w:rsid w:val="007714AB"/>
    <w:rsid w:val="007D1E76"/>
    <w:rsid w:val="007D4484"/>
    <w:rsid w:val="007E38A2"/>
    <w:rsid w:val="007F699D"/>
    <w:rsid w:val="00806269"/>
    <w:rsid w:val="00806787"/>
    <w:rsid w:val="008360EA"/>
    <w:rsid w:val="0086420E"/>
    <w:rsid w:val="0086459F"/>
    <w:rsid w:val="00877812"/>
    <w:rsid w:val="008C3BB8"/>
    <w:rsid w:val="008D1017"/>
    <w:rsid w:val="008D7A2E"/>
    <w:rsid w:val="008E076C"/>
    <w:rsid w:val="008E3742"/>
    <w:rsid w:val="0092765C"/>
    <w:rsid w:val="00943CCA"/>
    <w:rsid w:val="009462D2"/>
    <w:rsid w:val="00967DDA"/>
    <w:rsid w:val="009736CB"/>
    <w:rsid w:val="00987028"/>
    <w:rsid w:val="00994B77"/>
    <w:rsid w:val="00A155C0"/>
    <w:rsid w:val="00A4610E"/>
    <w:rsid w:val="00A6346D"/>
    <w:rsid w:val="00A730E0"/>
    <w:rsid w:val="00A90171"/>
    <w:rsid w:val="00AA02DF"/>
    <w:rsid w:val="00AA2768"/>
    <w:rsid w:val="00AA41E5"/>
    <w:rsid w:val="00AB0CF3"/>
    <w:rsid w:val="00AB722B"/>
    <w:rsid w:val="00AC3C0D"/>
    <w:rsid w:val="00AC423B"/>
    <w:rsid w:val="00AC4CC9"/>
    <w:rsid w:val="00AE1F6A"/>
    <w:rsid w:val="00AF4375"/>
    <w:rsid w:val="00B073DE"/>
    <w:rsid w:val="00B448D7"/>
    <w:rsid w:val="00B617EA"/>
    <w:rsid w:val="00B6368B"/>
    <w:rsid w:val="00BA53FE"/>
    <w:rsid w:val="00BA7674"/>
    <w:rsid w:val="00BE02EB"/>
    <w:rsid w:val="00C136E6"/>
    <w:rsid w:val="00C246CF"/>
    <w:rsid w:val="00C4250B"/>
    <w:rsid w:val="00C4625D"/>
    <w:rsid w:val="00C54C12"/>
    <w:rsid w:val="00C57523"/>
    <w:rsid w:val="00C67AD7"/>
    <w:rsid w:val="00C93C67"/>
    <w:rsid w:val="00C97E1E"/>
    <w:rsid w:val="00CB41C4"/>
    <w:rsid w:val="00CF1316"/>
    <w:rsid w:val="00D13C44"/>
    <w:rsid w:val="00D32331"/>
    <w:rsid w:val="00D40FC2"/>
    <w:rsid w:val="00D5018E"/>
    <w:rsid w:val="00D51153"/>
    <w:rsid w:val="00D546B2"/>
    <w:rsid w:val="00D8706B"/>
    <w:rsid w:val="00D975B1"/>
    <w:rsid w:val="00DD018C"/>
    <w:rsid w:val="00DE6D8B"/>
    <w:rsid w:val="00E00323"/>
    <w:rsid w:val="00E11758"/>
    <w:rsid w:val="00E472B6"/>
    <w:rsid w:val="00E617E0"/>
    <w:rsid w:val="00E74967"/>
    <w:rsid w:val="00E7559F"/>
    <w:rsid w:val="00E83389"/>
    <w:rsid w:val="00E85520"/>
    <w:rsid w:val="00E9132F"/>
    <w:rsid w:val="00EA37F5"/>
    <w:rsid w:val="00EA7915"/>
    <w:rsid w:val="00ED7AA0"/>
    <w:rsid w:val="00F067C8"/>
    <w:rsid w:val="00F1627C"/>
    <w:rsid w:val="00F21ACE"/>
    <w:rsid w:val="00F43AC5"/>
    <w:rsid w:val="00F46719"/>
    <w:rsid w:val="00F54F6F"/>
    <w:rsid w:val="00F6102D"/>
    <w:rsid w:val="00F62D40"/>
    <w:rsid w:val="00F65A92"/>
    <w:rsid w:val="00F6759B"/>
    <w:rsid w:val="00F92B0A"/>
    <w:rsid w:val="00FC1AE8"/>
    <w:rsid w:val="00FF5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B8"/>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Refdecomentario">
    <w:name w:val="annotation reference"/>
    <w:basedOn w:val="Fuentedeprrafopredeter"/>
    <w:uiPriority w:val="99"/>
    <w:semiHidden/>
    <w:unhideWhenUsed/>
    <w:rsid w:val="003B72E6"/>
    <w:rPr>
      <w:sz w:val="16"/>
      <w:szCs w:val="16"/>
    </w:rPr>
  </w:style>
  <w:style w:type="paragraph" w:styleId="Textocomentario">
    <w:name w:val="annotation text"/>
    <w:basedOn w:val="Normal"/>
    <w:link w:val="TextocomentarioCar"/>
    <w:uiPriority w:val="99"/>
    <w:semiHidden/>
    <w:unhideWhenUsed/>
    <w:rsid w:val="003B7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2E6"/>
    <w:rPr>
      <w:lang w:eastAsia="en-US"/>
    </w:rPr>
  </w:style>
  <w:style w:type="paragraph" w:styleId="Asuntodelcomentario">
    <w:name w:val="annotation subject"/>
    <w:basedOn w:val="Textocomentario"/>
    <w:next w:val="Textocomentario"/>
    <w:link w:val="AsuntodelcomentarioCar"/>
    <w:uiPriority w:val="99"/>
    <w:semiHidden/>
    <w:unhideWhenUsed/>
    <w:rsid w:val="003B72E6"/>
    <w:rPr>
      <w:b/>
      <w:bCs/>
    </w:rPr>
  </w:style>
  <w:style w:type="character" w:customStyle="1" w:styleId="AsuntodelcomentarioCar">
    <w:name w:val="Asunto del comentario Car"/>
    <w:basedOn w:val="TextocomentarioCar"/>
    <w:link w:val="Asuntodelcomentario"/>
    <w:uiPriority w:val="99"/>
    <w:semiHidden/>
    <w:rsid w:val="003B72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740">
      <w:bodyDiv w:val="1"/>
      <w:marLeft w:val="0"/>
      <w:marRight w:val="0"/>
      <w:marTop w:val="0"/>
      <w:marBottom w:val="0"/>
      <w:divBdr>
        <w:top w:val="none" w:sz="0" w:space="0" w:color="auto"/>
        <w:left w:val="none" w:sz="0" w:space="0" w:color="auto"/>
        <w:bottom w:val="none" w:sz="0" w:space="0" w:color="auto"/>
        <w:right w:val="none" w:sz="0" w:space="0" w:color="auto"/>
      </w:divBdr>
    </w:div>
    <w:div w:id="11960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11</Pages>
  <Words>3166</Words>
  <Characters>17415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20540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IMSM206</cp:lastModifiedBy>
  <cp:revision>15</cp:revision>
  <cp:lastPrinted>2025-01-20T19:41:00Z</cp:lastPrinted>
  <dcterms:created xsi:type="dcterms:W3CDTF">2024-10-04T18:09:00Z</dcterms:created>
  <dcterms:modified xsi:type="dcterms:W3CDTF">2025-10-09T18:57:00Z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